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518" w:rsidRDefault="00E31518">
      <w:pPr>
        <w:spacing w:before="100" w:beforeAutospacing="1" w:after="100" w:afterAutospacing="1"/>
        <w:jc w:val="both"/>
        <w:rPr>
          <w:rFonts w:hint="eastAsia"/>
        </w:rPr>
      </w:pPr>
    </w:p>
    <w:p w:rsidR="00E31518" w:rsidRDefault="004E5832">
      <w:pPr>
        <w:spacing w:before="100" w:beforeAutospacing="1" w:after="100" w:afterAutospacing="1"/>
        <w:jc w:val="both"/>
        <w:rPr>
          <w:rFonts w:hint="eastAsia"/>
        </w:rPr>
      </w:pPr>
      <w:r>
        <w:t>29.03.2019</w:t>
      </w:r>
    </w:p>
    <w:p w:rsidR="00E31518" w:rsidRDefault="00E31518">
      <w:pPr>
        <w:pStyle w:val="ListeParagraf"/>
        <w:spacing w:before="100" w:beforeAutospacing="1" w:after="100" w:afterAutospacing="1" w:line="276" w:lineRule="auto"/>
        <w:contextualSpacing w:val="0"/>
        <w:rPr>
          <w:b/>
        </w:rPr>
      </w:pPr>
    </w:p>
    <w:p w:rsidR="00E31518" w:rsidRDefault="004E5832">
      <w:pPr>
        <w:pStyle w:val="ListeParagraf"/>
        <w:spacing w:before="100" w:beforeAutospacing="1" w:after="100" w:afterAutospacing="1" w:line="276" w:lineRule="auto"/>
        <w:contextualSpacing w:val="0"/>
        <w:rPr>
          <w:b/>
        </w:rPr>
      </w:pPr>
      <w:r>
        <w:rPr>
          <w:b/>
        </w:rPr>
        <w:t xml:space="preserve">TÜREB BİLBAO’DA DÜZENLENEN WİNDEUROPE ETKİNLİĞİNE KATILACAK </w:t>
      </w:r>
    </w:p>
    <w:p w:rsidR="00E31518" w:rsidRDefault="004E5832">
      <w:pPr>
        <w:pStyle w:val="ListeParagraf"/>
        <w:spacing w:before="100" w:beforeAutospacing="1" w:after="100" w:afterAutospacing="1" w:line="276" w:lineRule="auto"/>
        <w:contextualSpacing w:val="0"/>
        <w:rPr>
          <w:b/>
          <w:i/>
          <w:sz w:val="22"/>
          <w:szCs w:val="22"/>
        </w:rPr>
      </w:pPr>
      <w:r>
        <w:rPr>
          <w:b/>
          <w:i/>
          <w:sz w:val="22"/>
          <w:szCs w:val="22"/>
          <w:shd w:val="clear" w:color="auto" w:fill="FFFFFF"/>
        </w:rPr>
        <w:t>WindEurope 2019 konferansı ve fuarı, 2-4 Nisan tarihlerinde İspanya’nın Bilbao şehrinde düzenleniyor. Sekiz binden fazla sektör temsilcisinin katılmasının beklendiği etkinlikte,</w:t>
      </w:r>
      <w:r>
        <w:rPr>
          <w:b/>
          <w:i/>
          <w:sz w:val="22"/>
          <w:szCs w:val="22"/>
          <w:shd w:val="clear" w:color="auto" w:fill="FFFFFF"/>
        </w:rPr>
        <w:t xml:space="preserve"> WindEurope üyesi olan TÜREB’te yer alıyor.</w:t>
      </w:r>
    </w:p>
    <w:p w:rsidR="00E31518" w:rsidRDefault="004E5832">
      <w:pPr>
        <w:pStyle w:val="ListeParagraf"/>
        <w:shd w:val="clear" w:color="auto" w:fill="FFFFFF"/>
        <w:spacing w:line="276" w:lineRule="auto"/>
        <w:rPr>
          <w:sz w:val="22"/>
          <w:szCs w:val="22"/>
          <w:lang w:val="en-US"/>
        </w:rPr>
      </w:pPr>
      <w:r>
        <w:rPr>
          <w:sz w:val="22"/>
          <w:szCs w:val="22"/>
        </w:rPr>
        <w:t xml:space="preserve">Avrupa Rüzgâr Enerjisi Birliği’nin (WindEurope) organize ettiği ve </w:t>
      </w:r>
      <w:bookmarkStart w:id="0" w:name="_GoBack"/>
      <w:bookmarkEnd w:id="0"/>
      <w:r>
        <w:rPr>
          <w:sz w:val="22"/>
          <w:szCs w:val="22"/>
          <w:shd w:val="clear" w:color="auto" w:fill="FFFFFF"/>
        </w:rPr>
        <w:t>önemli rüzgâr enerjisi etkinliklerinden biri olarak kabul edilen WindEurope 2019 konferansı ve fuarı, 2-4 Nisan tarihlerinde İspanya’nın Bilbao ş</w:t>
      </w:r>
      <w:r>
        <w:rPr>
          <w:sz w:val="22"/>
          <w:szCs w:val="22"/>
          <w:shd w:val="clear" w:color="auto" w:fill="FFFFFF"/>
        </w:rPr>
        <w:t>ehrinde gerçekleştirilecek. Sekiz binden fazla sektör temsilcisinin katılmasının beklendiği etkinliğe Türkiye Rüzgâr Enerjisi Birliği adına başkan Hakan Yıldırım</w:t>
      </w:r>
      <w:r>
        <w:rPr>
          <w:sz w:val="22"/>
          <w:szCs w:val="22"/>
          <w:shd w:val="clear" w:color="auto" w:fill="FFFFFF"/>
          <w:lang w:val="en-US"/>
        </w:rPr>
        <w:t xml:space="preserve"> i</w:t>
      </w:r>
      <w:r>
        <w:rPr>
          <w:sz w:val="22"/>
          <w:szCs w:val="22"/>
          <w:shd w:val="clear" w:color="auto" w:fill="FFFFFF"/>
        </w:rPr>
        <w:t>l</w:t>
      </w:r>
      <w:r>
        <w:rPr>
          <w:sz w:val="22"/>
          <w:szCs w:val="22"/>
          <w:shd w:val="clear" w:color="auto" w:fill="FFFFFF"/>
          <w:lang w:val="en-US"/>
        </w:rPr>
        <w:t>e</w:t>
      </w:r>
      <w:r>
        <w:rPr>
          <w:sz w:val="22"/>
          <w:szCs w:val="22"/>
          <w:shd w:val="clear" w:color="auto" w:fill="FFFFFF"/>
        </w:rPr>
        <w:t xml:space="preserve"> birlikte </w:t>
      </w:r>
      <w:r>
        <w:rPr>
          <w:sz w:val="22"/>
          <w:szCs w:val="22"/>
        </w:rPr>
        <w:t xml:space="preserve">yönetim kurulu üyelerinden </w:t>
      </w:r>
      <w:r>
        <w:rPr>
          <w:sz w:val="22"/>
          <w:szCs w:val="22"/>
          <w:lang w:val="en-US"/>
        </w:rPr>
        <w:t>Tuna Güven, Olcayto Yiğit, Arif Günyar ve Zeynel Kılın</w:t>
      </w:r>
      <w:r>
        <w:rPr>
          <w:sz w:val="22"/>
          <w:szCs w:val="22"/>
          <w:lang w:val="en-US"/>
        </w:rPr>
        <w:t>ç katılacak. Böylece yeni yönetim kurulunun ilk yurtdışı temasları bu konferans ile başlamış olacak. WindEurope CEO’su Giles Dicksonla biraraya gelecek TÜREB yönetim kurulu, etkinlik sürecince küresel tedarikçilerden  Vestas, Nordex ve Siemens Gamesa ile d</w:t>
      </w:r>
      <w:r>
        <w:rPr>
          <w:sz w:val="22"/>
          <w:szCs w:val="22"/>
          <w:lang w:val="en-US"/>
        </w:rPr>
        <w:t xml:space="preserve">e görüşmelerde bulunacak.  </w:t>
      </w:r>
    </w:p>
    <w:p w:rsidR="00E31518" w:rsidRDefault="004E5832">
      <w:pPr>
        <w:pStyle w:val="ListeParagraf"/>
        <w:shd w:val="clear" w:color="auto" w:fill="FFFFFF"/>
        <w:spacing w:line="276" w:lineRule="auto"/>
        <w:rPr>
          <w:sz w:val="22"/>
          <w:szCs w:val="22"/>
          <w:lang w:val="en-US"/>
        </w:rPr>
      </w:pPr>
      <w:r>
        <w:rPr>
          <w:sz w:val="22"/>
          <w:szCs w:val="22"/>
          <w:lang w:val="en-US"/>
        </w:rPr>
        <w:t>Konferansla birlikte gerçekleşen Küresel Rüzgâr Enerjisi Konseyi (GWEC) toplantısına ise TÜREB Başkanı Hakan Yıldırım ve Tuna Güven katılacak.</w:t>
      </w:r>
    </w:p>
    <w:p w:rsidR="00E31518" w:rsidRDefault="00E31518">
      <w:pPr>
        <w:pStyle w:val="ListeParagraf"/>
        <w:shd w:val="clear" w:color="auto" w:fill="FFFFFF"/>
        <w:spacing w:line="276" w:lineRule="auto"/>
        <w:rPr>
          <w:sz w:val="22"/>
          <w:szCs w:val="22"/>
          <w:lang w:val="en-US"/>
        </w:rPr>
      </w:pPr>
    </w:p>
    <w:p w:rsidR="00E31518" w:rsidRDefault="004E5832">
      <w:pPr>
        <w:pStyle w:val="ListeParagraf"/>
        <w:shd w:val="clear" w:color="auto" w:fill="FFFFFF"/>
        <w:spacing w:line="276" w:lineRule="auto"/>
        <w:rPr>
          <w:sz w:val="22"/>
          <w:szCs w:val="22"/>
          <w:shd w:val="clear" w:color="auto" w:fill="FFFFFF"/>
        </w:rPr>
      </w:pPr>
      <w:r>
        <w:rPr>
          <w:sz w:val="22"/>
          <w:szCs w:val="22"/>
          <w:shd w:val="clear" w:color="auto" w:fill="FFFFFF"/>
        </w:rPr>
        <w:t>“Avrupa İçin Temiz Ekonomi” teması ile düzenlenen etkin likte 155 konuşmacı ile piya</w:t>
      </w:r>
      <w:r>
        <w:rPr>
          <w:sz w:val="22"/>
          <w:szCs w:val="22"/>
          <w:shd w:val="clear" w:color="auto" w:fill="FFFFFF"/>
        </w:rPr>
        <w:t xml:space="preserve">sa trendlerine, finans ve hükümet politikalarına güncel bir bakış sağlanacak. Fuarda 50 ülkeden 300 katılımcının yer alacağı bildiriliyor. </w:t>
      </w:r>
    </w:p>
    <w:p w:rsidR="00E31518" w:rsidRDefault="004E5832">
      <w:pPr>
        <w:pStyle w:val="ListeParagraf"/>
        <w:spacing w:before="100" w:beforeAutospacing="1" w:after="100" w:afterAutospacing="1" w:line="276" w:lineRule="auto"/>
        <w:contextualSpacing w:val="0"/>
        <w:rPr>
          <w:sz w:val="22"/>
          <w:szCs w:val="22"/>
          <w:shd w:val="clear" w:color="auto" w:fill="FFFFFF"/>
        </w:rPr>
      </w:pPr>
      <w:r>
        <w:rPr>
          <w:sz w:val="22"/>
          <w:szCs w:val="22"/>
          <w:shd w:val="clear" w:color="auto" w:fill="FFFFFF"/>
        </w:rPr>
        <w:t>Etkinlikle ilgili açıklamada bulunan WindEurope CEO’su Giles Dickson, r</w:t>
      </w:r>
      <w:r>
        <w:rPr>
          <w:rFonts w:hint="eastAsia"/>
          <w:sz w:val="22"/>
          <w:szCs w:val="22"/>
          <w:shd w:val="clear" w:color="auto" w:fill="FFFFFF"/>
        </w:rPr>
        <w:t>ü</w:t>
      </w:r>
      <w:r>
        <w:rPr>
          <w:sz w:val="22"/>
          <w:szCs w:val="22"/>
          <w:shd w:val="clear" w:color="auto" w:fill="FFFFFF"/>
        </w:rPr>
        <w:t>zgâr end</w:t>
      </w:r>
      <w:r>
        <w:rPr>
          <w:rFonts w:hint="eastAsia"/>
          <w:sz w:val="22"/>
          <w:szCs w:val="22"/>
          <w:shd w:val="clear" w:color="auto" w:fill="FFFFFF"/>
        </w:rPr>
        <w:t>ü</w:t>
      </w:r>
      <w:r>
        <w:rPr>
          <w:sz w:val="22"/>
          <w:szCs w:val="22"/>
          <w:shd w:val="clear" w:color="auto" w:fill="FFFFFF"/>
        </w:rPr>
        <w:t>strisinin 2027 y</w:t>
      </w:r>
      <w:r>
        <w:rPr>
          <w:rFonts w:hint="eastAsia"/>
          <w:sz w:val="22"/>
          <w:szCs w:val="22"/>
          <w:shd w:val="clear" w:color="auto" w:fill="FFFFFF"/>
        </w:rPr>
        <w:t>ı</w:t>
      </w:r>
      <w:r>
        <w:rPr>
          <w:sz w:val="22"/>
          <w:szCs w:val="22"/>
          <w:shd w:val="clear" w:color="auto" w:fill="FFFFFF"/>
        </w:rPr>
        <w:t>l</w:t>
      </w:r>
      <w:r>
        <w:rPr>
          <w:rFonts w:hint="eastAsia"/>
          <w:sz w:val="22"/>
          <w:szCs w:val="22"/>
          <w:shd w:val="clear" w:color="auto" w:fill="FFFFFF"/>
        </w:rPr>
        <w:t>ı</w:t>
      </w:r>
      <w:r>
        <w:rPr>
          <w:sz w:val="22"/>
          <w:szCs w:val="22"/>
          <w:shd w:val="clear" w:color="auto" w:fill="FFFFFF"/>
        </w:rPr>
        <w:t>na kadar Avrupa'</w:t>
      </w:r>
      <w:r>
        <w:rPr>
          <w:sz w:val="22"/>
          <w:szCs w:val="22"/>
          <w:shd w:val="clear" w:color="auto" w:fill="FFFFFF"/>
        </w:rPr>
        <w:t>n</w:t>
      </w:r>
      <w:r>
        <w:rPr>
          <w:rFonts w:hint="eastAsia"/>
          <w:sz w:val="22"/>
          <w:szCs w:val="22"/>
          <w:shd w:val="clear" w:color="auto" w:fill="FFFFFF"/>
        </w:rPr>
        <w:t>ı</w:t>
      </w:r>
      <w:r>
        <w:rPr>
          <w:sz w:val="22"/>
          <w:szCs w:val="22"/>
          <w:shd w:val="clear" w:color="auto" w:fill="FFFFFF"/>
        </w:rPr>
        <w:t xml:space="preserve">n lider enerji </w:t>
      </w:r>
      <w:r>
        <w:rPr>
          <w:rFonts w:hint="eastAsia"/>
          <w:sz w:val="22"/>
          <w:szCs w:val="22"/>
          <w:shd w:val="clear" w:color="auto" w:fill="FFFFFF"/>
        </w:rPr>
        <w:t>ü</w:t>
      </w:r>
      <w:r>
        <w:rPr>
          <w:sz w:val="22"/>
          <w:szCs w:val="22"/>
          <w:shd w:val="clear" w:color="auto" w:fill="FFFFFF"/>
        </w:rPr>
        <w:t>retim kayna</w:t>
      </w:r>
      <w:r>
        <w:rPr>
          <w:rFonts w:hint="eastAsia"/>
          <w:sz w:val="22"/>
          <w:szCs w:val="22"/>
          <w:shd w:val="clear" w:color="auto" w:fill="FFFFFF"/>
        </w:rPr>
        <w:t>ğı</w:t>
      </w:r>
      <w:r>
        <w:rPr>
          <w:sz w:val="22"/>
          <w:szCs w:val="22"/>
          <w:shd w:val="clear" w:color="auto" w:fill="FFFFFF"/>
        </w:rPr>
        <w:t xml:space="preserve"> olaca</w:t>
      </w:r>
      <w:r>
        <w:rPr>
          <w:rFonts w:hint="eastAsia"/>
          <w:sz w:val="22"/>
          <w:szCs w:val="22"/>
          <w:shd w:val="clear" w:color="auto" w:fill="FFFFFF"/>
        </w:rPr>
        <w:t>ğı</w:t>
      </w:r>
      <w:r>
        <w:rPr>
          <w:sz w:val="22"/>
          <w:szCs w:val="22"/>
          <w:shd w:val="clear" w:color="auto" w:fill="FFFFFF"/>
        </w:rPr>
        <w:t>nın tahmin edildiğini ve bu nedenle t</w:t>
      </w:r>
      <w:r>
        <w:rPr>
          <w:rFonts w:hint="eastAsia"/>
          <w:sz w:val="22"/>
          <w:szCs w:val="22"/>
          <w:shd w:val="clear" w:color="auto" w:fill="FFFFFF"/>
        </w:rPr>
        <w:t>ü</w:t>
      </w:r>
      <w:r>
        <w:rPr>
          <w:sz w:val="22"/>
          <w:szCs w:val="22"/>
          <w:shd w:val="clear" w:color="auto" w:fill="FFFFFF"/>
        </w:rPr>
        <w:t>m g</w:t>
      </w:r>
      <w:r>
        <w:rPr>
          <w:rFonts w:hint="eastAsia"/>
          <w:sz w:val="22"/>
          <w:szCs w:val="22"/>
          <w:shd w:val="clear" w:color="auto" w:fill="FFFFFF"/>
        </w:rPr>
        <w:t>ö</w:t>
      </w:r>
      <w:r>
        <w:rPr>
          <w:sz w:val="22"/>
          <w:szCs w:val="22"/>
          <w:shd w:val="clear" w:color="auto" w:fill="FFFFFF"/>
        </w:rPr>
        <w:t>zlerin Bilbao’da olduğunu iletti. Bu etkinliğin Avrupa’da yaşayan bütün insanları ilgilendirdiğine dikkat çeken Dickson,  büyüyen iş gücüne katkı sağlamak, rüzgârın faydaların</w:t>
      </w:r>
      <w:r>
        <w:rPr>
          <w:sz w:val="22"/>
          <w:szCs w:val="22"/>
          <w:shd w:val="clear" w:color="auto" w:fill="FFFFFF"/>
        </w:rPr>
        <w:t>ı halka anlatabilmek ve onların desteklerini sürekli canlı tutabilmek için bu tür etkinliklerin önemli olduğuna değindi.</w:t>
      </w:r>
    </w:p>
    <w:p w:rsidR="00E31518" w:rsidRDefault="00E31518">
      <w:pPr>
        <w:pStyle w:val="ListeParagraf"/>
        <w:spacing w:before="100" w:beforeAutospacing="1" w:after="100" w:afterAutospacing="1" w:line="276" w:lineRule="auto"/>
        <w:contextualSpacing w:val="0"/>
        <w:rPr>
          <w:sz w:val="22"/>
          <w:szCs w:val="22"/>
          <w:shd w:val="clear" w:color="auto" w:fill="FFFFFF"/>
        </w:rPr>
      </w:pPr>
    </w:p>
    <w:p w:rsidR="00E31518" w:rsidRDefault="00E31518">
      <w:pPr>
        <w:rPr>
          <w:rFonts w:hint="eastAsia"/>
          <w:shd w:val="clear" w:color="auto" w:fill="FFFFFF"/>
        </w:rPr>
      </w:pPr>
    </w:p>
    <w:sectPr w:rsidR="00E31518" w:rsidSect="00E31518">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5832" w:rsidRDefault="004E5832" w:rsidP="00E31518">
      <w:pPr>
        <w:spacing w:after="0" w:line="240" w:lineRule="auto"/>
      </w:pPr>
      <w:r>
        <w:separator/>
      </w:r>
    </w:p>
  </w:endnote>
  <w:endnote w:type="continuationSeparator" w:id="0">
    <w:p w:rsidR="004E5832" w:rsidRDefault="004E5832" w:rsidP="00E315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A2"/>
    <w:family w:val="roman"/>
    <w:pitch w:val="variable"/>
    <w:sig w:usb0="20002A87" w:usb1="00000000" w:usb2="00000000" w:usb3="00000000" w:csb0="000001F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5832" w:rsidRDefault="004E5832" w:rsidP="00E31518">
      <w:pPr>
        <w:spacing w:after="0" w:line="240" w:lineRule="auto"/>
      </w:pPr>
      <w:r>
        <w:separator/>
      </w:r>
    </w:p>
  </w:footnote>
  <w:footnote w:type="continuationSeparator" w:id="0">
    <w:p w:rsidR="004E5832" w:rsidRDefault="004E5832" w:rsidP="00E315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18" w:rsidRDefault="004E5832">
    <w:pPr>
      <w:pStyle w:val="stbilgi"/>
      <w:rPr>
        <w:rFonts w:hint="eastAsia"/>
      </w:rPr>
    </w:pPr>
    <w:r>
      <w:rPr>
        <w:noProof/>
      </w:rPr>
      <w:drawing>
        <wp:anchor distT="0" distB="0" distL="114300" distR="114300" simplePos="0" relativeHeight="2" behindDoc="0" locked="0" layoutInCell="1" allowOverlap="1">
          <wp:simplePos x="0" y="0"/>
          <wp:positionH relativeFrom="column">
            <wp:posOffset>-880745</wp:posOffset>
          </wp:positionH>
          <wp:positionV relativeFrom="paragraph">
            <wp:posOffset>-449580</wp:posOffset>
          </wp:positionV>
          <wp:extent cx="7581900" cy="1133475"/>
          <wp:effectExtent l="19050" t="0" r="0" b="0"/>
          <wp:wrapSquare wrapText="bothSides"/>
          <wp:docPr id="4097" name="0 Resi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Resim"/>
                  <pic:cNvPicPr/>
                </pic:nvPicPr>
                <pic:blipFill>
                  <a:blip r:embed="rId1" cstate="print"/>
                  <a:srcRect/>
                  <a:stretch/>
                </pic:blipFill>
                <pic:spPr>
                  <a:xfrm>
                    <a:off x="0" y="0"/>
                    <a:ext cx="7581900" cy="113347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F544B460"/>
    <w:lvl w:ilvl="0" w:tplc="E75C4302">
      <w:start w:val="1"/>
      <w:numFmt w:val="bullet"/>
      <w:lvlText w:val=""/>
      <w:lvlJc w:val="left"/>
      <w:pPr>
        <w:ind w:left="720" w:hanging="360"/>
      </w:pPr>
      <w:rPr>
        <w:rFonts w:ascii="Symbol" w:eastAsia="Calibri" w:hAnsi="Symbol" w:cs="Times New Roman" w:hint="default"/>
      </w:rPr>
    </w:lvl>
    <w:lvl w:ilvl="1" w:tplc="041F0003">
      <w:start w:val="1"/>
      <w:numFmt w:val="decimal"/>
      <w:lvlText w:val="%2."/>
      <w:lvlJc w:val="left"/>
      <w:pPr>
        <w:tabs>
          <w:tab w:val="left" w:pos="1440"/>
        </w:tabs>
        <w:ind w:left="1440" w:hanging="360"/>
      </w:pPr>
    </w:lvl>
    <w:lvl w:ilvl="2" w:tplc="041F0005">
      <w:start w:val="1"/>
      <w:numFmt w:val="decimal"/>
      <w:lvlText w:val="%3."/>
      <w:lvlJc w:val="left"/>
      <w:pPr>
        <w:tabs>
          <w:tab w:val="left" w:pos="2160"/>
        </w:tabs>
        <w:ind w:left="2160" w:hanging="360"/>
      </w:pPr>
    </w:lvl>
    <w:lvl w:ilvl="3" w:tplc="041F0001">
      <w:start w:val="1"/>
      <w:numFmt w:val="decimal"/>
      <w:lvlText w:val="%4."/>
      <w:lvlJc w:val="left"/>
      <w:pPr>
        <w:tabs>
          <w:tab w:val="left" w:pos="2880"/>
        </w:tabs>
        <w:ind w:left="2880" w:hanging="360"/>
      </w:pPr>
    </w:lvl>
    <w:lvl w:ilvl="4" w:tplc="041F0003">
      <w:start w:val="1"/>
      <w:numFmt w:val="decimal"/>
      <w:lvlText w:val="%5."/>
      <w:lvlJc w:val="left"/>
      <w:pPr>
        <w:tabs>
          <w:tab w:val="left" w:pos="3600"/>
        </w:tabs>
        <w:ind w:left="3600" w:hanging="360"/>
      </w:pPr>
    </w:lvl>
    <w:lvl w:ilvl="5" w:tplc="041F0005">
      <w:start w:val="1"/>
      <w:numFmt w:val="decimal"/>
      <w:lvlText w:val="%6."/>
      <w:lvlJc w:val="left"/>
      <w:pPr>
        <w:tabs>
          <w:tab w:val="left" w:pos="4320"/>
        </w:tabs>
        <w:ind w:left="4320" w:hanging="360"/>
      </w:pPr>
    </w:lvl>
    <w:lvl w:ilvl="6" w:tplc="041F0001">
      <w:start w:val="1"/>
      <w:numFmt w:val="decimal"/>
      <w:lvlText w:val="%7."/>
      <w:lvlJc w:val="left"/>
      <w:pPr>
        <w:tabs>
          <w:tab w:val="left" w:pos="5040"/>
        </w:tabs>
        <w:ind w:left="5040" w:hanging="360"/>
      </w:pPr>
    </w:lvl>
    <w:lvl w:ilvl="7" w:tplc="041F0003">
      <w:start w:val="1"/>
      <w:numFmt w:val="decimal"/>
      <w:lvlText w:val="%8."/>
      <w:lvlJc w:val="left"/>
      <w:pPr>
        <w:tabs>
          <w:tab w:val="left" w:pos="5760"/>
        </w:tabs>
        <w:ind w:left="5760" w:hanging="360"/>
      </w:pPr>
    </w:lvl>
    <w:lvl w:ilvl="8" w:tplc="041F0005">
      <w:start w:val="1"/>
      <w:numFmt w:val="decimal"/>
      <w:lvlText w:val="%9."/>
      <w:lvlJc w:val="left"/>
      <w:pPr>
        <w:tabs>
          <w:tab w:val="left" w:pos="6480"/>
        </w:tabs>
        <w:ind w:left="6480" w:hanging="360"/>
      </w:pPr>
    </w:lvl>
  </w:abstractNum>
  <w:abstractNum w:abstractNumId="1">
    <w:nsid w:val="00000001"/>
    <w:multiLevelType w:val="hybridMultilevel"/>
    <w:tmpl w:val="A3A8F5CC"/>
    <w:lvl w:ilvl="0" w:tplc="AF4445C2">
      <w:start w:val="2014"/>
      <w:numFmt w:val="bullet"/>
      <w:lvlText w:val="-"/>
      <w:lvlJc w:val="left"/>
      <w:pPr>
        <w:ind w:left="735" w:hanging="360"/>
      </w:pPr>
      <w:rPr>
        <w:rFonts w:ascii="Tahoma" w:eastAsia="Calibri" w:hAnsi="Tahoma" w:cs="Tahoma" w:hint="default"/>
      </w:rPr>
    </w:lvl>
    <w:lvl w:ilvl="1" w:tplc="041F0003" w:tentative="1">
      <w:start w:val="1"/>
      <w:numFmt w:val="bullet"/>
      <w:lvlText w:val="o"/>
      <w:lvlJc w:val="left"/>
      <w:pPr>
        <w:ind w:left="1455" w:hanging="360"/>
      </w:pPr>
      <w:rPr>
        <w:rFonts w:ascii="Courier New" w:hAnsi="Courier New" w:cs="Courier New" w:hint="default"/>
      </w:rPr>
    </w:lvl>
    <w:lvl w:ilvl="2" w:tplc="041F0005" w:tentative="1">
      <w:start w:val="1"/>
      <w:numFmt w:val="bullet"/>
      <w:lvlText w:val=""/>
      <w:lvlJc w:val="left"/>
      <w:pPr>
        <w:ind w:left="2175" w:hanging="360"/>
      </w:pPr>
      <w:rPr>
        <w:rFonts w:ascii="Wingdings" w:hAnsi="Wingdings" w:hint="default"/>
      </w:rPr>
    </w:lvl>
    <w:lvl w:ilvl="3" w:tplc="041F0001" w:tentative="1">
      <w:start w:val="1"/>
      <w:numFmt w:val="bullet"/>
      <w:lvlText w:val=""/>
      <w:lvlJc w:val="left"/>
      <w:pPr>
        <w:ind w:left="2895" w:hanging="360"/>
      </w:pPr>
      <w:rPr>
        <w:rFonts w:ascii="Symbol" w:hAnsi="Symbol" w:hint="default"/>
      </w:rPr>
    </w:lvl>
    <w:lvl w:ilvl="4" w:tplc="041F0003" w:tentative="1">
      <w:start w:val="1"/>
      <w:numFmt w:val="bullet"/>
      <w:lvlText w:val="o"/>
      <w:lvlJc w:val="left"/>
      <w:pPr>
        <w:ind w:left="3615" w:hanging="360"/>
      </w:pPr>
      <w:rPr>
        <w:rFonts w:ascii="Courier New" w:hAnsi="Courier New" w:cs="Courier New" w:hint="default"/>
      </w:rPr>
    </w:lvl>
    <w:lvl w:ilvl="5" w:tplc="041F0005" w:tentative="1">
      <w:start w:val="1"/>
      <w:numFmt w:val="bullet"/>
      <w:lvlText w:val=""/>
      <w:lvlJc w:val="left"/>
      <w:pPr>
        <w:ind w:left="4335" w:hanging="360"/>
      </w:pPr>
      <w:rPr>
        <w:rFonts w:ascii="Wingdings" w:hAnsi="Wingdings" w:hint="default"/>
      </w:rPr>
    </w:lvl>
    <w:lvl w:ilvl="6" w:tplc="041F0001" w:tentative="1">
      <w:start w:val="1"/>
      <w:numFmt w:val="bullet"/>
      <w:lvlText w:val=""/>
      <w:lvlJc w:val="left"/>
      <w:pPr>
        <w:ind w:left="5055" w:hanging="360"/>
      </w:pPr>
      <w:rPr>
        <w:rFonts w:ascii="Symbol" w:hAnsi="Symbol" w:hint="default"/>
      </w:rPr>
    </w:lvl>
    <w:lvl w:ilvl="7" w:tplc="041F0003" w:tentative="1">
      <w:start w:val="1"/>
      <w:numFmt w:val="bullet"/>
      <w:lvlText w:val="o"/>
      <w:lvlJc w:val="left"/>
      <w:pPr>
        <w:ind w:left="5775" w:hanging="360"/>
      </w:pPr>
      <w:rPr>
        <w:rFonts w:ascii="Courier New" w:hAnsi="Courier New" w:cs="Courier New" w:hint="default"/>
      </w:rPr>
    </w:lvl>
    <w:lvl w:ilvl="8" w:tplc="041F0005" w:tentative="1">
      <w:start w:val="1"/>
      <w:numFmt w:val="bullet"/>
      <w:lvlText w:val=""/>
      <w:lvlJc w:val="left"/>
      <w:pPr>
        <w:ind w:left="6495" w:hanging="360"/>
      </w:pPr>
      <w:rPr>
        <w:rFonts w:ascii="Wingdings" w:hAnsi="Wingding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footnotePr>
    <w:footnote w:id="-1"/>
    <w:footnote w:id="0"/>
  </w:footnotePr>
  <w:endnotePr>
    <w:endnote w:id="-1"/>
    <w:endnote w:id="0"/>
  </w:endnotePr>
  <w:compat>
    <w:useFELayout/>
  </w:compat>
  <w:rsids>
    <w:rsidRoot w:val="00E31518"/>
    <w:rsid w:val="004E5832"/>
    <w:rsid w:val="00E31518"/>
    <w:rsid w:val="00E4508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SimSun"/>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51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rsid w:val="00E31518"/>
    <w:pPr>
      <w:spacing w:after="0" w:line="240" w:lineRule="auto"/>
    </w:pPr>
    <w:rPr>
      <w:rFonts w:ascii="Times New Roman" w:hAnsi="Times New Roman" w:cs="Times New Roman"/>
      <w:sz w:val="24"/>
      <w:szCs w:val="24"/>
    </w:rPr>
  </w:style>
  <w:style w:type="paragraph" w:styleId="AralkYok">
    <w:name w:val="No Spacing"/>
    <w:qFormat/>
    <w:rsid w:val="00E31518"/>
    <w:pPr>
      <w:spacing w:after="0" w:line="240" w:lineRule="auto"/>
    </w:pPr>
    <w:rPr>
      <w:rFonts w:eastAsia="Calibri" w:cs="Times New Roman"/>
    </w:rPr>
  </w:style>
  <w:style w:type="paragraph" w:styleId="stbilgi">
    <w:name w:val="header"/>
    <w:basedOn w:val="Normal"/>
    <w:link w:val="stbilgiChar"/>
    <w:uiPriority w:val="99"/>
    <w:rsid w:val="00E3151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31518"/>
  </w:style>
  <w:style w:type="paragraph" w:styleId="Altbilgi">
    <w:name w:val="footer"/>
    <w:basedOn w:val="Normal"/>
    <w:link w:val="AltbilgiChar"/>
    <w:uiPriority w:val="99"/>
    <w:rsid w:val="00E3151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31518"/>
  </w:style>
  <w:style w:type="paragraph" w:styleId="ListeParagraf">
    <w:name w:val="List Paragraph"/>
    <w:basedOn w:val="Normal"/>
    <w:uiPriority w:val="34"/>
    <w:qFormat/>
    <w:rsid w:val="00E31518"/>
    <w:pPr>
      <w:spacing w:after="0" w:line="240" w:lineRule="auto"/>
      <w:ind w:left="720"/>
      <w:contextualSpacing/>
    </w:pPr>
    <w:rPr>
      <w:rFonts w:ascii="Times New Roman" w:eastAsia="Calibri" w:hAnsi="Times New Roman" w:cs="Times New Roman"/>
      <w:sz w:val="24"/>
      <w:szCs w:val="24"/>
    </w:rPr>
  </w:style>
  <w:style w:type="paragraph" w:styleId="Dzeltme">
    <w:name w:val="Revision"/>
    <w:uiPriority w:val="99"/>
    <w:rsid w:val="00E31518"/>
    <w:pPr>
      <w:spacing w:after="0" w:line="240" w:lineRule="auto"/>
    </w:pPr>
  </w:style>
  <w:style w:type="paragraph" w:styleId="BalonMetni">
    <w:name w:val="Balloon Text"/>
    <w:basedOn w:val="Normal"/>
    <w:link w:val="BalonMetniChar"/>
    <w:uiPriority w:val="99"/>
    <w:rsid w:val="00E3151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rsid w:val="00E315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1F54A3-E3CF-4F9D-87FA-24350A3AB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1625</Characters>
  <Application>Microsoft Office Word</Application>
  <DocSecurity>0</DocSecurity>
  <Lines>13</Lines>
  <Paragraphs>3</Paragraphs>
  <ScaleCrop>false</ScaleCrop>
  <Company/>
  <LinksUpToDate>false</LinksUpToDate>
  <CharactersWithSpaces>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2019-03-30T07:27:00Z</dcterms:created>
  <dcterms:modified xsi:type="dcterms:W3CDTF">2019-03-30T07:27:00Z</dcterms:modified>
</cp:coreProperties>
</file>