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6B5CD" w14:textId="77777777" w:rsidR="00B0592A" w:rsidRPr="004131D6" w:rsidRDefault="00B0592A" w:rsidP="00B0592A">
      <w:pPr>
        <w:jc w:val="center"/>
        <w:rPr>
          <w:rFonts w:cs="Times New Roman"/>
          <w:b/>
          <w:szCs w:val="24"/>
        </w:rPr>
      </w:pPr>
      <w:r w:rsidRPr="004131D6">
        <w:rPr>
          <w:rFonts w:cs="Times New Roman"/>
          <w:b/>
          <w:szCs w:val="24"/>
        </w:rPr>
        <w:t>GENEL GEREKÇE</w:t>
      </w:r>
    </w:p>
    <w:p w14:paraId="1E795856" w14:textId="77777777" w:rsidR="00B0592A" w:rsidRPr="004131D6" w:rsidRDefault="00B0592A" w:rsidP="00B0592A">
      <w:pPr>
        <w:ind w:firstLine="708"/>
        <w:jc w:val="both"/>
        <w:rPr>
          <w:rFonts w:cs="Times New Roman"/>
          <w:szCs w:val="24"/>
        </w:rPr>
      </w:pPr>
    </w:p>
    <w:p w14:paraId="303E8D12" w14:textId="30A91626" w:rsidR="00B0592A" w:rsidRPr="004131D6" w:rsidRDefault="00B0592A" w:rsidP="00B0592A">
      <w:pPr>
        <w:ind w:firstLine="708"/>
        <w:jc w:val="both"/>
        <w:rPr>
          <w:rFonts w:cs="Times New Roman"/>
          <w:szCs w:val="24"/>
        </w:rPr>
      </w:pPr>
      <w:r w:rsidRPr="004131D6">
        <w:rPr>
          <w:rFonts w:cs="Times New Roman"/>
          <w:szCs w:val="24"/>
        </w:rPr>
        <w:t xml:space="preserve">Satış sonrası hizmetler, bir ürünün kullanım ömrü süresince üreticisi veya ilgili </w:t>
      </w:r>
      <w:r w:rsidR="00AF3547" w:rsidRPr="004131D6">
        <w:rPr>
          <w:rFonts w:cs="Times New Roman"/>
          <w:szCs w:val="24"/>
        </w:rPr>
        <w:t xml:space="preserve">diğer </w:t>
      </w:r>
      <w:r w:rsidRPr="004131D6">
        <w:rPr>
          <w:rFonts w:cs="Times New Roman"/>
          <w:szCs w:val="24"/>
        </w:rPr>
        <w:t>ekonomik aktörleri tarafından verilmesi zorunlu</w:t>
      </w:r>
      <w:r w:rsidR="003F1AC6" w:rsidRPr="004131D6">
        <w:rPr>
          <w:rFonts w:cs="Times New Roman"/>
          <w:szCs w:val="24"/>
        </w:rPr>
        <w:t xml:space="preserve"> olan</w:t>
      </w:r>
      <w:r w:rsidRPr="004131D6">
        <w:rPr>
          <w:rFonts w:cs="Times New Roman"/>
          <w:szCs w:val="24"/>
        </w:rPr>
        <w:t xml:space="preserve"> montaj, bakım ve onarım gibi hizmetler olarak tanımlanmaktadır. Bu hizmetler, ürünün piyasaya arzı sonrası devreye giren faaliyetler olup piyasaya arz öncesine ilişkin teknik gereklilikler 5/3/2020 tarihli 7223 sayılı Ürün Güvenliği ve Teknik Düzenlemeler Kanunu ve bu kanun kapsamında yayımlanan ikincil mevzuat vasıtasıyla yürütülmektedir. </w:t>
      </w:r>
      <w:r w:rsidR="007174D8" w:rsidRPr="004131D6">
        <w:rPr>
          <w:rFonts w:cs="Times New Roman"/>
          <w:szCs w:val="24"/>
        </w:rPr>
        <w:t>S</w:t>
      </w:r>
      <w:r w:rsidRPr="004131D6">
        <w:rPr>
          <w:rFonts w:cs="Times New Roman"/>
          <w:szCs w:val="24"/>
        </w:rPr>
        <w:t xml:space="preserve">atış sonrası hizmetler ile bahsi geçen teknik düzenlemelere uygunluğun birbirini mutlak biçimde tamamlayıcı nitelikte olduğu kaçınılmaz bir gerçek olarak karşımıza çıkmaktadır. Bu sebeple, </w:t>
      </w:r>
      <w:r w:rsidR="007174D8" w:rsidRPr="004131D6">
        <w:rPr>
          <w:rFonts w:cs="Times New Roman"/>
          <w:szCs w:val="24"/>
        </w:rPr>
        <w:t xml:space="preserve">ürünün </w:t>
      </w:r>
      <w:r w:rsidRPr="004131D6">
        <w:rPr>
          <w:rFonts w:cs="Times New Roman"/>
          <w:szCs w:val="24"/>
        </w:rPr>
        <w:t>piyasaya arz</w:t>
      </w:r>
      <w:r w:rsidR="007174D8" w:rsidRPr="004131D6">
        <w:rPr>
          <w:rFonts w:cs="Times New Roman"/>
          <w:szCs w:val="24"/>
        </w:rPr>
        <w:t>ı</w:t>
      </w:r>
      <w:r w:rsidRPr="004131D6">
        <w:rPr>
          <w:rFonts w:cs="Times New Roman"/>
          <w:szCs w:val="24"/>
        </w:rPr>
        <w:t xml:space="preserve"> öncesine ilişkin teknik düzenlemelerin varlığı kadar piyasaya arz</w:t>
      </w:r>
      <w:r w:rsidR="009F0385" w:rsidRPr="004131D6">
        <w:rPr>
          <w:rFonts w:cs="Times New Roman"/>
          <w:szCs w:val="24"/>
        </w:rPr>
        <w:t>ı</w:t>
      </w:r>
      <w:r w:rsidRPr="004131D6">
        <w:rPr>
          <w:rFonts w:cs="Times New Roman"/>
          <w:szCs w:val="24"/>
        </w:rPr>
        <w:t xml:space="preserve"> sonra</w:t>
      </w:r>
      <w:r w:rsidR="007174D8" w:rsidRPr="004131D6">
        <w:rPr>
          <w:rFonts w:cs="Times New Roman"/>
          <w:szCs w:val="24"/>
        </w:rPr>
        <w:t>sında</w:t>
      </w:r>
      <w:r w:rsidRPr="004131D6">
        <w:rPr>
          <w:rFonts w:cs="Times New Roman"/>
          <w:szCs w:val="24"/>
        </w:rPr>
        <w:t xml:space="preserve"> kullanıcıların karşılaşabileceği sorunları önlemek adına yapılacak düzenlemelerin varlığı da önem taşımaktadır. </w:t>
      </w:r>
    </w:p>
    <w:p w14:paraId="6AB6BD5C" w14:textId="77777777" w:rsidR="00B0592A" w:rsidRPr="004131D6" w:rsidRDefault="00B0592A" w:rsidP="00B0592A">
      <w:pPr>
        <w:ind w:firstLine="708"/>
        <w:jc w:val="both"/>
        <w:rPr>
          <w:rFonts w:cs="Times New Roman"/>
          <w:szCs w:val="24"/>
        </w:rPr>
      </w:pPr>
      <w:r w:rsidRPr="004131D6">
        <w:rPr>
          <w:rFonts w:cs="Times New Roman"/>
          <w:szCs w:val="24"/>
        </w:rPr>
        <w:t xml:space="preserve">Günümüzde sanayi ürünü satın alanların yaşadığı problemlerin başını; ürünün satışı sonrasında kullanıcının herhangi bir teknik destek alamaması veya gerekli teknik desteğin sunulması için kullanıcıların ağır şartlara maruz kalması oluşturmaktadır. </w:t>
      </w:r>
    </w:p>
    <w:p w14:paraId="1FFEE0BC" w14:textId="75E28E78" w:rsidR="00B0592A" w:rsidRPr="004131D6" w:rsidRDefault="00B0592A" w:rsidP="007174D8">
      <w:pPr>
        <w:ind w:firstLine="708"/>
        <w:jc w:val="both"/>
        <w:rPr>
          <w:rFonts w:cs="Times New Roman"/>
          <w:szCs w:val="24"/>
        </w:rPr>
      </w:pPr>
      <w:r w:rsidRPr="004131D6">
        <w:rPr>
          <w:rFonts w:cs="Times New Roman"/>
          <w:szCs w:val="24"/>
        </w:rPr>
        <w:t>Ulusal mevzuatımızda satış sonrası hizmetlere ilişkin düzenlemeler 7/11/2013 tarihli ve 6502 sayılı Tüketicinin Korunması Hakkında Kanun’da bulunmaktadır</w:t>
      </w:r>
      <w:r w:rsidR="007174D8" w:rsidRPr="004131D6">
        <w:rPr>
          <w:rFonts w:cs="Times New Roman"/>
          <w:szCs w:val="24"/>
        </w:rPr>
        <w:t xml:space="preserve"> ancak bu</w:t>
      </w:r>
      <w:r w:rsidRPr="004131D6">
        <w:rPr>
          <w:rFonts w:cs="Times New Roman"/>
          <w:szCs w:val="24"/>
        </w:rPr>
        <w:t xml:space="preserve"> düzenlemeler yalnızca tüketici sıfatın</w:t>
      </w:r>
      <w:r w:rsidR="00637EB3" w:rsidRPr="004131D6">
        <w:rPr>
          <w:rFonts w:cs="Times New Roman"/>
          <w:szCs w:val="24"/>
        </w:rPr>
        <w:t>ı</w:t>
      </w:r>
      <w:r w:rsidRPr="004131D6">
        <w:rPr>
          <w:rFonts w:cs="Times New Roman"/>
          <w:szCs w:val="24"/>
        </w:rPr>
        <w:t xml:space="preserve"> haiz olan kullanıcıları kapsamaktadır. Söz konusu Kanun tüketiciyi “Ticari veya mesleki olmayan amaçlarla hareket eden gerçek veya tüzel kişi” olarak tanımladığı için ticari ve mesleki amaçlarla sanayi ürünü satın alan sanayi işletmeleri, yapı müteahhitleri, kamu tüzel kişileri ve benzeri aktörler kapsam dışında kalarak öngörülen koruma tedbirlerinden yararlanamamaktadır. Satın aldığı sanayi ürününe ilişkin bir sorun yaşayan veya satış sonrası hizmete ulaşmak isteyen bu aktörler, 6502 sayılı Kanun’un korumasından yararlanamadıkları için daha genel düzenlemeler içeren</w:t>
      </w:r>
    </w:p>
    <w:p w14:paraId="100058F4" w14:textId="77777777" w:rsidR="00B0592A" w:rsidRPr="004131D6" w:rsidRDefault="00B0592A" w:rsidP="00B0592A">
      <w:pPr>
        <w:pStyle w:val="ListeParagraf"/>
        <w:numPr>
          <w:ilvl w:val="0"/>
          <w:numId w:val="1"/>
        </w:numPr>
        <w:jc w:val="both"/>
        <w:rPr>
          <w:rFonts w:cs="Times New Roman"/>
          <w:szCs w:val="24"/>
        </w:rPr>
      </w:pPr>
      <w:r w:rsidRPr="004131D6">
        <w:rPr>
          <w:rFonts w:cs="Times New Roman"/>
          <w:szCs w:val="24"/>
        </w:rPr>
        <w:t>11/1/2011 tarihli ve 6098 sayılı Türk Borçlar Kanunu,</w:t>
      </w:r>
    </w:p>
    <w:p w14:paraId="78613525" w14:textId="77777777" w:rsidR="00B0592A" w:rsidRPr="004131D6" w:rsidRDefault="00B0592A" w:rsidP="00B0592A">
      <w:pPr>
        <w:pStyle w:val="ListeParagraf"/>
        <w:numPr>
          <w:ilvl w:val="0"/>
          <w:numId w:val="1"/>
        </w:numPr>
        <w:jc w:val="both"/>
        <w:rPr>
          <w:rFonts w:cs="Times New Roman"/>
          <w:szCs w:val="24"/>
        </w:rPr>
      </w:pPr>
      <w:r w:rsidRPr="004131D6">
        <w:rPr>
          <w:rFonts w:cs="Times New Roman"/>
          <w:szCs w:val="24"/>
        </w:rPr>
        <w:t>13/1/2011 tarihli ve 6102 sayılı Türk Ticaret Kanunu ve</w:t>
      </w:r>
    </w:p>
    <w:p w14:paraId="4440C899" w14:textId="77777777" w:rsidR="00B0592A" w:rsidRPr="004131D6" w:rsidRDefault="00B0592A" w:rsidP="00B0592A">
      <w:pPr>
        <w:pStyle w:val="ListeParagraf"/>
        <w:numPr>
          <w:ilvl w:val="0"/>
          <w:numId w:val="1"/>
        </w:numPr>
        <w:jc w:val="both"/>
        <w:rPr>
          <w:rFonts w:cs="Times New Roman"/>
          <w:szCs w:val="24"/>
        </w:rPr>
      </w:pPr>
      <w:r w:rsidRPr="004131D6">
        <w:rPr>
          <w:rFonts w:cs="Times New Roman"/>
          <w:szCs w:val="24"/>
        </w:rPr>
        <w:t>30/3/2005 tarihli ve 5326 sayılı Kabahatler Kanunu’nun</w:t>
      </w:r>
    </w:p>
    <w:p w14:paraId="690E9533" w14:textId="2B55F509" w:rsidR="00B0592A" w:rsidRPr="004131D6" w:rsidRDefault="00B0592A" w:rsidP="00B0592A">
      <w:pPr>
        <w:jc w:val="both"/>
        <w:rPr>
          <w:rFonts w:cs="Times New Roman"/>
          <w:szCs w:val="24"/>
        </w:rPr>
      </w:pPr>
      <w:proofErr w:type="gramStart"/>
      <w:r w:rsidRPr="004131D6">
        <w:rPr>
          <w:rFonts w:cs="Times New Roman"/>
          <w:szCs w:val="24"/>
        </w:rPr>
        <w:t>ilgili</w:t>
      </w:r>
      <w:proofErr w:type="gramEnd"/>
      <w:r w:rsidRPr="004131D6">
        <w:rPr>
          <w:rFonts w:cs="Times New Roman"/>
          <w:szCs w:val="24"/>
        </w:rPr>
        <w:t xml:space="preserve"> hükümlerine başvurarak hukuki ihtilaflarını gidermeye çalışmaktadırlar. </w:t>
      </w:r>
    </w:p>
    <w:p w14:paraId="6F7EA1C3" w14:textId="335BF6DD" w:rsidR="00B0592A" w:rsidRPr="004131D6" w:rsidRDefault="00E677D5" w:rsidP="00B0592A">
      <w:pPr>
        <w:ind w:firstLine="708"/>
        <w:jc w:val="both"/>
        <w:rPr>
          <w:rFonts w:cs="Times New Roman"/>
          <w:szCs w:val="24"/>
        </w:rPr>
      </w:pPr>
      <w:r w:rsidRPr="004131D6">
        <w:rPr>
          <w:rFonts w:cs="Times New Roman"/>
          <w:szCs w:val="24"/>
        </w:rPr>
        <w:t>Bu alanda</w:t>
      </w:r>
      <w:r w:rsidR="00B0592A" w:rsidRPr="004131D6">
        <w:rPr>
          <w:rFonts w:cs="Times New Roman"/>
          <w:szCs w:val="24"/>
        </w:rPr>
        <w:t xml:space="preserve"> 6502 sayılı Kanun</w:t>
      </w:r>
      <w:r w:rsidR="001D73D9" w:rsidRPr="004131D6">
        <w:rPr>
          <w:rFonts w:cs="Times New Roman"/>
          <w:szCs w:val="24"/>
        </w:rPr>
        <w:t>a</w:t>
      </w:r>
      <w:r w:rsidR="00B0592A" w:rsidRPr="004131D6">
        <w:rPr>
          <w:rFonts w:cs="Times New Roman"/>
          <w:szCs w:val="24"/>
        </w:rPr>
        <w:t xml:space="preserve"> benzer şekilde satış sonrasına ilişkin ayrıntılı hükümler içeren bir düzenlemenin bulunmaması; satın alınarak veya ithal edilerek sanayide kullanılan ürünlerin kullanıcılara tesliminin ardından yerli ya da yabancı satıcıya ulaşılamamasına, yedek parça temin edilememesine ve satış sonrası hizmetler konusunda yurtiçi ve yurtdışındaki muhataplarla yaşanan sıkıntılar nedeniyle üretim aksamalarına ve o alanda yerli üretim varsa yerli üreticilerin yabancı menşeili olanlara karşı haksız rekabete maruz kalmalarına neden olmaktadır.</w:t>
      </w:r>
    </w:p>
    <w:p w14:paraId="6810A6AE" w14:textId="4BE5C7D0" w:rsidR="00B0592A" w:rsidRPr="004131D6" w:rsidRDefault="00B0592A" w:rsidP="00B0592A">
      <w:pPr>
        <w:ind w:firstLine="708"/>
        <w:jc w:val="both"/>
        <w:rPr>
          <w:rFonts w:cs="Times New Roman"/>
          <w:szCs w:val="24"/>
        </w:rPr>
      </w:pPr>
      <w:r w:rsidRPr="004131D6">
        <w:rPr>
          <w:rFonts w:cs="Times New Roman"/>
          <w:szCs w:val="24"/>
        </w:rPr>
        <w:t>Yapılması planlanan düzenleme</w:t>
      </w:r>
      <w:r w:rsidR="009B6C40" w:rsidRPr="004131D6">
        <w:rPr>
          <w:rFonts w:cs="Times New Roman"/>
          <w:szCs w:val="24"/>
        </w:rPr>
        <w:t>y</w:t>
      </w:r>
      <w:r w:rsidRPr="004131D6">
        <w:rPr>
          <w:rFonts w:cs="Times New Roman"/>
          <w:szCs w:val="24"/>
        </w:rPr>
        <w:t xml:space="preserve">le yerli ve yabancı menşeili ürünlerin ülkemiz pazarında hem kendi aralarında hem de birbirlerine karşı adil bir rekabet ortamında kullanıcılarla buluşması hedeflenerek; kullanıcıların kurumsallaşma düzeyi yüksek işletmelerle muhatap olacağı, satın alınan sanayi ürününe ilişkin haklarının doğrudan ve dolaylı olarak koruma altına alınacağı ile yerli ve milli kaynaklarımızın israfının önüne geçileceği öngörülmektedir. </w:t>
      </w:r>
    </w:p>
    <w:p w14:paraId="61D75054" w14:textId="5C27E578" w:rsidR="00B0592A" w:rsidRPr="004131D6" w:rsidRDefault="00B0592A" w:rsidP="00B0592A">
      <w:pPr>
        <w:ind w:firstLine="708"/>
        <w:jc w:val="both"/>
        <w:rPr>
          <w:rFonts w:cs="Times New Roman"/>
          <w:szCs w:val="24"/>
        </w:rPr>
      </w:pPr>
      <w:r w:rsidRPr="004131D6">
        <w:rPr>
          <w:rFonts w:cs="Times New Roman"/>
          <w:szCs w:val="24"/>
        </w:rPr>
        <w:t>Ayrıca yapılması planlanan düzenleme yerli üreticilerimiz boyutuyla ele alındığında; başta makine sektörü olmak üzere tüm imalat sanayi sektörlerinde markalaşmanın her zamankinden daha önemli olduğu bu son dönemde, kullanıcıları koruma yaklaşımı güdülmek suretiyle yerli üreticilerimizin satış sonrası hizmetler konusunda gelişimi</w:t>
      </w:r>
      <w:r w:rsidR="00E677D5" w:rsidRPr="004131D6">
        <w:rPr>
          <w:rFonts w:cs="Times New Roman"/>
          <w:szCs w:val="24"/>
        </w:rPr>
        <w:t xml:space="preserve"> sağlanacaktır. B</w:t>
      </w:r>
      <w:r w:rsidRPr="004131D6">
        <w:rPr>
          <w:rFonts w:cs="Times New Roman"/>
          <w:szCs w:val="24"/>
        </w:rPr>
        <w:t xml:space="preserve">una bağlı olarak </w:t>
      </w:r>
      <w:r w:rsidR="00E677D5" w:rsidRPr="004131D6">
        <w:rPr>
          <w:rFonts w:cs="Times New Roman"/>
          <w:szCs w:val="24"/>
        </w:rPr>
        <w:t xml:space="preserve">üreticilerin </w:t>
      </w:r>
      <w:r w:rsidRPr="004131D6">
        <w:rPr>
          <w:rFonts w:cs="Times New Roman"/>
          <w:szCs w:val="24"/>
        </w:rPr>
        <w:t>kurumsallaşma düzeylerinin artması vasıtasıyla yurtiçinde ve yurtdışında Türk ürünlerine olan güvenin ar</w:t>
      </w:r>
      <w:r w:rsidR="00E677D5" w:rsidRPr="004131D6">
        <w:rPr>
          <w:rFonts w:cs="Times New Roman"/>
          <w:szCs w:val="24"/>
        </w:rPr>
        <w:t>tırılmasının</w:t>
      </w:r>
      <w:r w:rsidRPr="004131D6">
        <w:rPr>
          <w:rFonts w:cs="Times New Roman"/>
          <w:szCs w:val="24"/>
        </w:rPr>
        <w:t xml:space="preserve"> yanı sıra halihazırda markalaşma sürecini tamamlamış olan üreticilerin kurumsal niteliğe sahip olmayanlara karşı korunması </w:t>
      </w:r>
      <w:r w:rsidR="00E677D5" w:rsidRPr="004131D6">
        <w:rPr>
          <w:rFonts w:cs="Times New Roman"/>
          <w:szCs w:val="24"/>
        </w:rPr>
        <w:t xml:space="preserve">da </w:t>
      </w:r>
      <w:r w:rsidRPr="004131D6">
        <w:rPr>
          <w:rFonts w:cs="Times New Roman"/>
          <w:szCs w:val="24"/>
        </w:rPr>
        <w:t>sağlanmış olacaktır.</w:t>
      </w:r>
    </w:p>
    <w:p w14:paraId="1C318EAB" w14:textId="77777777" w:rsidR="00B0592A" w:rsidRPr="004131D6" w:rsidRDefault="00B0592A" w:rsidP="00B0592A">
      <w:pPr>
        <w:jc w:val="both"/>
        <w:rPr>
          <w:rFonts w:cs="Times New Roman"/>
          <w:szCs w:val="24"/>
        </w:rPr>
      </w:pPr>
    </w:p>
    <w:p w14:paraId="343AFC08" w14:textId="021A152C" w:rsidR="00B0592A" w:rsidRPr="004131D6" w:rsidRDefault="00B0592A" w:rsidP="00E028D7">
      <w:pPr>
        <w:ind w:firstLine="708"/>
        <w:jc w:val="both"/>
        <w:rPr>
          <w:rFonts w:cs="Times New Roman"/>
          <w:szCs w:val="24"/>
        </w:rPr>
      </w:pPr>
      <w:r w:rsidRPr="004131D6">
        <w:rPr>
          <w:rFonts w:cs="Times New Roman"/>
          <w:szCs w:val="24"/>
        </w:rPr>
        <w:lastRenderedPageBreak/>
        <w:t xml:space="preserve">Bu çerçevede, söz konusu mevzuat boşluğunun giderilmesi amacıyla, tacirler arasında bazı ürünlerin garanti belgesi ile ya da garanti süresi tanımlanarak satılması, bunların tamir süreleri, kullanım ömürleri ve satış sonrası montaj, bakım ve onarım hizmetlerine yönelik olarak; ilgili kamu kurum ve kuruluşları ile Sivil Toplum Kuruluşları dahil olmak üzere pek çok paydaşla temaslar kurularak </w:t>
      </w:r>
      <w:r w:rsidR="00EC0530" w:rsidRPr="004131D6">
        <w:rPr>
          <w:rFonts w:cs="Times New Roman"/>
          <w:szCs w:val="24"/>
        </w:rPr>
        <w:t>görüşmeler yapılmıştır</w:t>
      </w:r>
      <w:r w:rsidRPr="004131D6">
        <w:rPr>
          <w:rFonts w:cs="Times New Roman"/>
          <w:szCs w:val="24"/>
        </w:rPr>
        <w:t>.</w:t>
      </w:r>
    </w:p>
    <w:p w14:paraId="55E38470" w14:textId="77777777" w:rsidR="00B0592A" w:rsidRPr="004131D6" w:rsidRDefault="00B0592A" w:rsidP="00B0592A">
      <w:pPr>
        <w:jc w:val="both"/>
        <w:rPr>
          <w:rFonts w:cs="Times New Roman"/>
          <w:szCs w:val="24"/>
        </w:rPr>
      </w:pPr>
    </w:p>
    <w:p w14:paraId="145CAC1C" w14:textId="3DAAF84D" w:rsidR="00B0592A" w:rsidRPr="004131D6" w:rsidRDefault="00E028D7" w:rsidP="00E028D7">
      <w:pPr>
        <w:ind w:firstLine="708"/>
        <w:jc w:val="both"/>
        <w:rPr>
          <w:rFonts w:cs="Times New Roman"/>
          <w:szCs w:val="24"/>
        </w:rPr>
      </w:pPr>
      <w:r w:rsidRPr="004131D6">
        <w:rPr>
          <w:rFonts w:cs="Times New Roman"/>
          <w:szCs w:val="24"/>
        </w:rPr>
        <w:t xml:space="preserve"> </w:t>
      </w:r>
      <w:r w:rsidR="00B0592A" w:rsidRPr="004131D6">
        <w:rPr>
          <w:rFonts w:cs="Times New Roman"/>
          <w:szCs w:val="24"/>
        </w:rPr>
        <w:t>Yapılan değerlendirmeler sonucunda hem satın alanların</w:t>
      </w:r>
      <w:r w:rsidR="00213B9A" w:rsidRPr="004131D6">
        <w:rPr>
          <w:rFonts w:cs="Times New Roman"/>
          <w:szCs w:val="24"/>
        </w:rPr>
        <w:t xml:space="preserve"> korunması</w:t>
      </w:r>
      <w:r w:rsidR="00B0592A" w:rsidRPr="004131D6">
        <w:rPr>
          <w:rFonts w:cs="Times New Roman"/>
          <w:szCs w:val="24"/>
        </w:rPr>
        <w:t xml:space="preserve"> hem üretici ve ithalatçılar özelinde kurumsal yapılanmanın sağlanması veya sağlamlaştırılması hem de üreticilerimizin markalaşmasının önündeki en büyük engellerden birisi olan satış sonrası hizmetler konusundaki eksikliğin hazırlanan bu Taslak ile giderilmesi büyük önem taşımaktadır.</w:t>
      </w:r>
    </w:p>
    <w:p w14:paraId="2E988862" w14:textId="77777777" w:rsidR="00B0592A" w:rsidRPr="004131D6" w:rsidRDefault="00B0592A" w:rsidP="00B0592A">
      <w:pPr>
        <w:jc w:val="both"/>
        <w:rPr>
          <w:rFonts w:cs="Times New Roman"/>
          <w:szCs w:val="24"/>
        </w:rPr>
      </w:pPr>
    </w:p>
    <w:p w14:paraId="2CB4DEA3" w14:textId="77777777" w:rsidR="00B0592A" w:rsidRPr="004131D6" w:rsidRDefault="00B0592A" w:rsidP="00B0592A">
      <w:pPr>
        <w:ind w:firstLine="708"/>
        <w:jc w:val="both"/>
        <w:rPr>
          <w:rFonts w:cs="Times New Roman"/>
          <w:szCs w:val="24"/>
        </w:rPr>
      </w:pPr>
    </w:p>
    <w:p w14:paraId="31CDCE2F" w14:textId="3AE8270D" w:rsidR="00B0592A" w:rsidRPr="004131D6" w:rsidRDefault="00B0592A" w:rsidP="00B0592A">
      <w:pPr>
        <w:ind w:firstLine="708"/>
        <w:jc w:val="both"/>
        <w:rPr>
          <w:rFonts w:cs="Times New Roman"/>
          <w:szCs w:val="24"/>
        </w:rPr>
      </w:pPr>
      <w:r w:rsidRPr="004131D6">
        <w:rPr>
          <w:rFonts w:cs="Times New Roman"/>
          <w:szCs w:val="24"/>
        </w:rPr>
        <w:t xml:space="preserve">Tablo 1.Yapılması öngörülen düzenleme ile </w:t>
      </w:r>
      <w:r w:rsidR="00400350" w:rsidRPr="004131D6">
        <w:rPr>
          <w:rFonts w:cs="Times New Roman"/>
          <w:szCs w:val="24"/>
        </w:rPr>
        <w:t>ilişkili</w:t>
      </w:r>
      <w:r w:rsidRPr="004131D6">
        <w:rPr>
          <w:rFonts w:cs="Times New Roman"/>
          <w:szCs w:val="24"/>
        </w:rPr>
        <w:t xml:space="preserve"> meri mevzuat ve hükümleri</w:t>
      </w:r>
    </w:p>
    <w:tbl>
      <w:tblPr>
        <w:tblStyle w:val="TabloKlavuzu"/>
        <w:tblW w:w="0" w:type="auto"/>
        <w:jc w:val="center"/>
        <w:tblLook w:val="04A0" w:firstRow="1" w:lastRow="0" w:firstColumn="1" w:lastColumn="0" w:noHBand="0" w:noVBand="1"/>
      </w:tblPr>
      <w:tblGrid>
        <w:gridCol w:w="2592"/>
        <w:gridCol w:w="6470"/>
      </w:tblGrid>
      <w:tr w:rsidR="004131D6" w:rsidRPr="004131D6" w14:paraId="6C1EB955" w14:textId="77777777" w:rsidTr="00126922">
        <w:trPr>
          <w:jc w:val="center"/>
        </w:trPr>
        <w:tc>
          <w:tcPr>
            <w:tcW w:w="2592" w:type="dxa"/>
          </w:tcPr>
          <w:p w14:paraId="3F6BB90A" w14:textId="77777777" w:rsidR="00B0592A" w:rsidRPr="004131D6" w:rsidRDefault="00B0592A" w:rsidP="00413056">
            <w:pPr>
              <w:jc w:val="both"/>
              <w:rPr>
                <w:rFonts w:cs="Times New Roman"/>
                <w:b/>
                <w:szCs w:val="24"/>
              </w:rPr>
            </w:pPr>
            <w:r w:rsidRPr="004131D6">
              <w:rPr>
                <w:rFonts w:cs="Times New Roman"/>
                <w:b/>
                <w:szCs w:val="24"/>
              </w:rPr>
              <w:t>İlgili Mevzuat</w:t>
            </w:r>
          </w:p>
        </w:tc>
        <w:tc>
          <w:tcPr>
            <w:tcW w:w="6470" w:type="dxa"/>
          </w:tcPr>
          <w:p w14:paraId="22A697EA" w14:textId="77777777" w:rsidR="00B0592A" w:rsidRPr="004131D6" w:rsidRDefault="00B0592A" w:rsidP="00413056">
            <w:pPr>
              <w:jc w:val="both"/>
              <w:rPr>
                <w:rFonts w:cs="Times New Roman"/>
                <w:b/>
                <w:szCs w:val="24"/>
              </w:rPr>
            </w:pPr>
            <w:r w:rsidRPr="004131D6">
              <w:rPr>
                <w:rFonts w:cs="Times New Roman"/>
                <w:b/>
                <w:szCs w:val="24"/>
              </w:rPr>
              <w:t>İlgili Hükümler</w:t>
            </w:r>
          </w:p>
        </w:tc>
      </w:tr>
      <w:tr w:rsidR="004131D6" w:rsidRPr="004131D6" w14:paraId="620AEEFF" w14:textId="77777777" w:rsidTr="00400350">
        <w:trPr>
          <w:trHeight w:val="950"/>
          <w:jc w:val="center"/>
        </w:trPr>
        <w:tc>
          <w:tcPr>
            <w:tcW w:w="2592" w:type="dxa"/>
            <w:vAlign w:val="center"/>
          </w:tcPr>
          <w:p w14:paraId="71B8DD19" w14:textId="77777777" w:rsidR="00B0592A" w:rsidRPr="004131D6" w:rsidRDefault="00B0592A" w:rsidP="00400350">
            <w:pPr>
              <w:rPr>
                <w:rFonts w:cs="Times New Roman"/>
                <w:szCs w:val="24"/>
              </w:rPr>
            </w:pPr>
            <w:r w:rsidRPr="004131D6">
              <w:rPr>
                <w:rFonts w:cs="Times New Roman"/>
                <w:szCs w:val="24"/>
              </w:rPr>
              <w:t>Türk Borçlar Kanunu</w:t>
            </w:r>
          </w:p>
        </w:tc>
        <w:tc>
          <w:tcPr>
            <w:tcW w:w="6470" w:type="dxa"/>
            <w:vAlign w:val="center"/>
          </w:tcPr>
          <w:p w14:paraId="5C070596" w14:textId="77777777" w:rsidR="00B0592A" w:rsidRPr="004131D6" w:rsidRDefault="00B0592A" w:rsidP="00400350">
            <w:pPr>
              <w:rPr>
                <w:rFonts w:cs="Times New Roman"/>
                <w:szCs w:val="24"/>
              </w:rPr>
            </w:pPr>
            <w:r w:rsidRPr="004131D6">
              <w:rPr>
                <w:rFonts w:cs="Times New Roman"/>
                <w:szCs w:val="24"/>
              </w:rPr>
              <w:t>- Satış Sözleşmesi (İkinci Kısım, Birinci Bölüm)</w:t>
            </w:r>
          </w:p>
          <w:p w14:paraId="146E2EED" w14:textId="77777777" w:rsidR="00B0592A" w:rsidRPr="004131D6" w:rsidRDefault="00B0592A" w:rsidP="00400350">
            <w:pPr>
              <w:rPr>
                <w:rFonts w:cs="Times New Roman"/>
                <w:szCs w:val="24"/>
              </w:rPr>
            </w:pPr>
            <w:r w:rsidRPr="004131D6">
              <w:rPr>
                <w:rFonts w:cs="Times New Roman"/>
                <w:szCs w:val="24"/>
              </w:rPr>
              <w:t>- Ayıptan sorumluluk (219 ila 231 inci maddeler)</w:t>
            </w:r>
          </w:p>
        </w:tc>
      </w:tr>
      <w:tr w:rsidR="004131D6" w:rsidRPr="004131D6" w14:paraId="5264CA7C" w14:textId="77777777" w:rsidTr="00400350">
        <w:trPr>
          <w:trHeight w:val="1120"/>
          <w:jc w:val="center"/>
        </w:trPr>
        <w:tc>
          <w:tcPr>
            <w:tcW w:w="2592" w:type="dxa"/>
            <w:vAlign w:val="center"/>
          </w:tcPr>
          <w:p w14:paraId="5472D151" w14:textId="77777777" w:rsidR="00B0592A" w:rsidRPr="004131D6" w:rsidRDefault="00B0592A" w:rsidP="00400350">
            <w:pPr>
              <w:rPr>
                <w:rFonts w:cs="Times New Roman"/>
                <w:szCs w:val="24"/>
              </w:rPr>
            </w:pPr>
            <w:r w:rsidRPr="004131D6">
              <w:rPr>
                <w:rFonts w:cs="Times New Roman"/>
                <w:szCs w:val="24"/>
              </w:rPr>
              <w:t>Türk Ticaret Kanunu</w:t>
            </w:r>
          </w:p>
        </w:tc>
        <w:tc>
          <w:tcPr>
            <w:tcW w:w="6470" w:type="dxa"/>
            <w:vAlign w:val="center"/>
          </w:tcPr>
          <w:p w14:paraId="53D4EE89" w14:textId="77777777" w:rsidR="00B0592A" w:rsidRPr="004131D6" w:rsidRDefault="00B0592A" w:rsidP="00400350">
            <w:pPr>
              <w:rPr>
                <w:rFonts w:cs="Times New Roman"/>
                <w:szCs w:val="24"/>
              </w:rPr>
            </w:pPr>
            <w:r w:rsidRPr="004131D6">
              <w:rPr>
                <w:rFonts w:cs="Times New Roman"/>
                <w:szCs w:val="24"/>
              </w:rPr>
              <w:t>-Başlangıç hükümleri</w:t>
            </w:r>
          </w:p>
          <w:p w14:paraId="2ACFDD01" w14:textId="77777777" w:rsidR="00B0592A" w:rsidRPr="004131D6" w:rsidRDefault="00B0592A" w:rsidP="00400350">
            <w:pPr>
              <w:rPr>
                <w:rFonts w:cs="Times New Roman"/>
                <w:szCs w:val="24"/>
              </w:rPr>
            </w:pPr>
            <w:r w:rsidRPr="004131D6">
              <w:rPr>
                <w:rFonts w:cs="Times New Roman"/>
                <w:szCs w:val="24"/>
              </w:rPr>
              <w:t>-Tacir (Birinci Kitap, Birinci Kısım)</w:t>
            </w:r>
          </w:p>
          <w:p w14:paraId="035E4409" w14:textId="77777777" w:rsidR="00B0592A" w:rsidRPr="004131D6" w:rsidRDefault="00B0592A" w:rsidP="00400350">
            <w:pPr>
              <w:rPr>
                <w:rFonts w:cs="Times New Roman"/>
                <w:szCs w:val="24"/>
              </w:rPr>
            </w:pPr>
            <w:r w:rsidRPr="004131D6">
              <w:rPr>
                <w:rFonts w:cs="Times New Roman"/>
                <w:szCs w:val="24"/>
              </w:rPr>
              <w:t>- Ticari satış ve mal değişimi (</w:t>
            </w:r>
            <w:proofErr w:type="gramStart"/>
            <w:r w:rsidRPr="004131D6">
              <w:rPr>
                <w:rFonts w:cs="Times New Roman"/>
                <w:szCs w:val="24"/>
              </w:rPr>
              <w:t>23 üncü</w:t>
            </w:r>
            <w:proofErr w:type="gramEnd"/>
            <w:r w:rsidRPr="004131D6">
              <w:rPr>
                <w:rFonts w:cs="Times New Roman"/>
                <w:szCs w:val="24"/>
              </w:rPr>
              <w:t xml:space="preserve"> madde)</w:t>
            </w:r>
          </w:p>
        </w:tc>
      </w:tr>
      <w:tr w:rsidR="004131D6" w:rsidRPr="004131D6" w14:paraId="2B32C18C" w14:textId="77777777" w:rsidTr="00400350">
        <w:trPr>
          <w:trHeight w:val="1121"/>
          <w:jc w:val="center"/>
        </w:trPr>
        <w:tc>
          <w:tcPr>
            <w:tcW w:w="2592" w:type="dxa"/>
            <w:vAlign w:val="center"/>
          </w:tcPr>
          <w:p w14:paraId="7FB8E03E" w14:textId="77777777" w:rsidR="00B0592A" w:rsidRPr="004131D6" w:rsidRDefault="00B0592A" w:rsidP="00400350">
            <w:pPr>
              <w:rPr>
                <w:rFonts w:cs="Times New Roman"/>
                <w:szCs w:val="24"/>
              </w:rPr>
            </w:pPr>
            <w:r w:rsidRPr="004131D6">
              <w:rPr>
                <w:rFonts w:cs="Times New Roman"/>
                <w:szCs w:val="24"/>
              </w:rPr>
              <w:t>Kabahatler Kanunu</w:t>
            </w:r>
          </w:p>
        </w:tc>
        <w:tc>
          <w:tcPr>
            <w:tcW w:w="6470" w:type="dxa"/>
            <w:vAlign w:val="center"/>
          </w:tcPr>
          <w:p w14:paraId="727FAB9F" w14:textId="77777777" w:rsidR="00B0592A" w:rsidRPr="004131D6" w:rsidRDefault="00B0592A" w:rsidP="00400350">
            <w:pPr>
              <w:rPr>
                <w:rFonts w:cs="Times New Roman"/>
                <w:szCs w:val="24"/>
              </w:rPr>
            </w:pPr>
            <w:r w:rsidRPr="004131D6">
              <w:rPr>
                <w:rFonts w:cs="Times New Roman"/>
                <w:szCs w:val="24"/>
              </w:rPr>
              <w:t>- İdarî yaptırımlar (Üçüncü Bölüm, 16 ila 21 inci maddeler)</w:t>
            </w:r>
          </w:p>
          <w:p w14:paraId="26E7F1C4" w14:textId="77777777" w:rsidR="00B0592A" w:rsidRPr="004131D6" w:rsidRDefault="00B0592A" w:rsidP="00400350">
            <w:pPr>
              <w:rPr>
                <w:rFonts w:cs="Times New Roman"/>
                <w:szCs w:val="24"/>
              </w:rPr>
            </w:pPr>
            <w:r w:rsidRPr="004131D6">
              <w:rPr>
                <w:rFonts w:cs="Times New Roman"/>
                <w:szCs w:val="24"/>
              </w:rPr>
              <w:t xml:space="preserve">- İdarî para </w:t>
            </w:r>
            <w:proofErr w:type="gramStart"/>
            <w:r w:rsidRPr="004131D6">
              <w:rPr>
                <w:rFonts w:cs="Times New Roman"/>
                <w:szCs w:val="24"/>
              </w:rPr>
              <w:t>cezası -</w:t>
            </w:r>
            <w:proofErr w:type="gramEnd"/>
            <w:r w:rsidRPr="004131D6">
              <w:rPr>
                <w:rFonts w:cs="Times New Roman"/>
                <w:szCs w:val="24"/>
              </w:rPr>
              <w:t xml:space="preserve"> Yeniden değerleme (17 </w:t>
            </w:r>
            <w:proofErr w:type="spellStart"/>
            <w:r w:rsidRPr="004131D6">
              <w:rPr>
                <w:rFonts w:cs="Times New Roman"/>
                <w:szCs w:val="24"/>
              </w:rPr>
              <w:t>nci</w:t>
            </w:r>
            <w:proofErr w:type="spellEnd"/>
            <w:r w:rsidRPr="004131D6">
              <w:rPr>
                <w:rFonts w:cs="Times New Roman"/>
                <w:szCs w:val="24"/>
              </w:rPr>
              <w:t xml:space="preserve"> maddesinin yedinci fıkrası)</w:t>
            </w:r>
          </w:p>
        </w:tc>
      </w:tr>
      <w:tr w:rsidR="004131D6" w:rsidRPr="004131D6" w14:paraId="410B49EC" w14:textId="77777777" w:rsidTr="00400350">
        <w:trPr>
          <w:trHeight w:val="1548"/>
          <w:jc w:val="center"/>
        </w:trPr>
        <w:tc>
          <w:tcPr>
            <w:tcW w:w="2592" w:type="dxa"/>
            <w:vAlign w:val="center"/>
          </w:tcPr>
          <w:p w14:paraId="5537ED6D" w14:textId="77777777" w:rsidR="00B0592A" w:rsidRPr="004131D6" w:rsidRDefault="00B0592A" w:rsidP="00400350">
            <w:pPr>
              <w:rPr>
                <w:rFonts w:cs="Times New Roman"/>
                <w:szCs w:val="24"/>
              </w:rPr>
            </w:pPr>
            <w:r w:rsidRPr="004131D6">
              <w:rPr>
                <w:rFonts w:cs="Times New Roman"/>
                <w:szCs w:val="24"/>
              </w:rPr>
              <w:t>İdari Yargılama Usulü Kanunu</w:t>
            </w:r>
          </w:p>
        </w:tc>
        <w:tc>
          <w:tcPr>
            <w:tcW w:w="6470" w:type="dxa"/>
            <w:vAlign w:val="center"/>
          </w:tcPr>
          <w:p w14:paraId="5D9C5912" w14:textId="77777777" w:rsidR="00B0592A" w:rsidRPr="004131D6" w:rsidRDefault="00B0592A" w:rsidP="00400350">
            <w:pPr>
              <w:rPr>
                <w:rFonts w:cs="Times New Roman"/>
                <w:szCs w:val="24"/>
              </w:rPr>
            </w:pPr>
            <w:r w:rsidRPr="004131D6">
              <w:rPr>
                <w:rFonts w:cs="Times New Roman"/>
                <w:szCs w:val="24"/>
              </w:rPr>
              <w:t>-Dava açma süresi (madde 7)</w:t>
            </w:r>
          </w:p>
          <w:p w14:paraId="5211E5A6" w14:textId="77777777" w:rsidR="00B0592A" w:rsidRPr="004131D6" w:rsidRDefault="00B0592A" w:rsidP="00400350">
            <w:pPr>
              <w:rPr>
                <w:rFonts w:cs="Times New Roman"/>
                <w:szCs w:val="24"/>
              </w:rPr>
            </w:pPr>
            <w:r w:rsidRPr="004131D6">
              <w:rPr>
                <w:rFonts w:cs="Times New Roman"/>
                <w:szCs w:val="24"/>
              </w:rPr>
              <w:t>-</w:t>
            </w:r>
            <w:r w:rsidRPr="004131D6">
              <w:t xml:space="preserve"> </w:t>
            </w:r>
            <w:r w:rsidRPr="004131D6">
              <w:rPr>
                <w:rFonts w:cs="Times New Roman"/>
                <w:szCs w:val="24"/>
              </w:rPr>
              <w:t>Sürelerle ilgili genel esaslar (madde 8)</w:t>
            </w:r>
          </w:p>
          <w:p w14:paraId="13A3F08B" w14:textId="77777777" w:rsidR="00B0592A" w:rsidRPr="004131D6" w:rsidRDefault="00B0592A" w:rsidP="00400350">
            <w:pPr>
              <w:rPr>
                <w:rFonts w:cs="Times New Roman"/>
                <w:szCs w:val="24"/>
              </w:rPr>
            </w:pPr>
            <w:r w:rsidRPr="004131D6">
              <w:rPr>
                <w:rFonts w:cs="Times New Roman"/>
                <w:szCs w:val="24"/>
              </w:rPr>
              <w:t>-</w:t>
            </w:r>
            <w:r w:rsidRPr="004131D6">
              <w:t xml:space="preserve"> </w:t>
            </w:r>
            <w:r w:rsidRPr="004131D6">
              <w:rPr>
                <w:rFonts w:cs="Times New Roman"/>
                <w:szCs w:val="24"/>
              </w:rPr>
              <w:t>Üst makamlara başvurma (madde 11)</w:t>
            </w:r>
          </w:p>
          <w:p w14:paraId="738B460D" w14:textId="75429471" w:rsidR="00B0592A" w:rsidRPr="004131D6" w:rsidRDefault="00B0592A" w:rsidP="00400350">
            <w:pPr>
              <w:rPr>
                <w:rFonts w:cs="Times New Roman"/>
                <w:szCs w:val="24"/>
              </w:rPr>
            </w:pPr>
            <w:r w:rsidRPr="004131D6">
              <w:rPr>
                <w:rFonts w:cs="Times New Roman"/>
                <w:szCs w:val="24"/>
              </w:rPr>
              <w:t>-İdari davalarda genel yetki (madde 32)</w:t>
            </w:r>
          </w:p>
        </w:tc>
      </w:tr>
      <w:tr w:rsidR="00126922" w:rsidRPr="004131D6" w14:paraId="1F498B59" w14:textId="77777777" w:rsidTr="00400350">
        <w:trPr>
          <w:trHeight w:val="1320"/>
          <w:jc w:val="center"/>
        </w:trPr>
        <w:tc>
          <w:tcPr>
            <w:tcW w:w="2592" w:type="dxa"/>
            <w:vAlign w:val="center"/>
          </w:tcPr>
          <w:p w14:paraId="6B8848AD" w14:textId="77777777" w:rsidR="00126922" w:rsidRPr="004131D6" w:rsidRDefault="00126922" w:rsidP="00400350">
            <w:pPr>
              <w:rPr>
                <w:rFonts w:cs="Times New Roman"/>
                <w:szCs w:val="24"/>
              </w:rPr>
            </w:pPr>
            <w:r w:rsidRPr="004131D6">
              <w:rPr>
                <w:rFonts w:cs="Times New Roman"/>
                <w:szCs w:val="24"/>
              </w:rPr>
              <w:t>Hukuk Muhakemeleri Kanunu</w:t>
            </w:r>
          </w:p>
        </w:tc>
        <w:tc>
          <w:tcPr>
            <w:tcW w:w="6470" w:type="dxa"/>
            <w:vAlign w:val="center"/>
          </w:tcPr>
          <w:p w14:paraId="66591220" w14:textId="77777777" w:rsidR="00126922" w:rsidRPr="004131D6" w:rsidRDefault="00126922" w:rsidP="00400350">
            <w:pPr>
              <w:rPr>
                <w:rFonts w:cs="Times New Roman"/>
                <w:szCs w:val="24"/>
              </w:rPr>
            </w:pPr>
            <w:r w:rsidRPr="004131D6">
              <w:rPr>
                <w:rFonts w:cs="Times New Roman"/>
                <w:szCs w:val="24"/>
              </w:rPr>
              <w:t>-Görev, Yetki ve Yargı Yeri Belirlenmesi (Birinci Kısım, Birinci Bölüm)</w:t>
            </w:r>
          </w:p>
          <w:p w14:paraId="02194A71" w14:textId="77777777" w:rsidR="00126922" w:rsidRPr="004131D6" w:rsidRDefault="00126922" w:rsidP="00400350">
            <w:pPr>
              <w:rPr>
                <w:rFonts w:cs="Times New Roman"/>
                <w:szCs w:val="24"/>
              </w:rPr>
            </w:pPr>
            <w:r w:rsidRPr="004131D6">
              <w:rPr>
                <w:rFonts w:cs="Times New Roman"/>
                <w:szCs w:val="24"/>
              </w:rPr>
              <w:t>-Süreler (Altıncı Bölüm, Birinci Ayrım)</w:t>
            </w:r>
          </w:p>
        </w:tc>
      </w:tr>
    </w:tbl>
    <w:p w14:paraId="691FBD78" w14:textId="77777777" w:rsidR="00B0592A" w:rsidRPr="004131D6" w:rsidRDefault="00B0592A" w:rsidP="00B0592A">
      <w:pPr>
        <w:jc w:val="both"/>
        <w:rPr>
          <w:rFonts w:cs="Times New Roman"/>
          <w:szCs w:val="24"/>
        </w:rPr>
      </w:pPr>
    </w:p>
    <w:p w14:paraId="01B4A387" w14:textId="77777777" w:rsidR="00B0592A" w:rsidRPr="004131D6" w:rsidRDefault="00B0592A" w:rsidP="00B0592A"/>
    <w:p w14:paraId="09F219FC" w14:textId="77777777" w:rsidR="003E065E" w:rsidRPr="004131D6" w:rsidRDefault="000324AB"/>
    <w:p w14:paraId="27DB84E9" w14:textId="153F1948" w:rsidR="00AF3547" w:rsidRPr="004131D6" w:rsidRDefault="00AF3547">
      <w:pPr>
        <w:spacing w:after="160" w:line="259" w:lineRule="auto"/>
        <w:rPr>
          <w:rFonts w:cs="Times New Roman"/>
          <w:b/>
          <w:szCs w:val="24"/>
        </w:rPr>
      </w:pPr>
      <w:r w:rsidRPr="004131D6">
        <w:rPr>
          <w:rFonts w:cs="Times New Roman"/>
          <w:b/>
          <w:szCs w:val="24"/>
        </w:rPr>
        <w:br w:type="page"/>
      </w:r>
    </w:p>
    <w:p w14:paraId="55A95CED" w14:textId="77777777" w:rsidR="00126922" w:rsidRPr="004131D6" w:rsidRDefault="00126922" w:rsidP="00B0592A">
      <w:pPr>
        <w:jc w:val="center"/>
        <w:rPr>
          <w:rFonts w:cs="Times New Roman"/>
          <w:b/>
          <w:szCs w:val="24"/>
        </w:rPr>
      </w:pPr>
    </w:p>
    <w:p w14:paraId="2B869722" w14:textId="20FE44FD" w:rsidR="00B0592A" w:rsidRPr="004131D6" w:rsidRDefault="00B0592A" w:rsidP="00B0592A">
      <w:pPr>
        <w:jc w:val="center"/>
        <w:rPr>
          <w:rFonts w:cs="Times New Roman"/>
          <w:b/>
          <w:szCs w:val="24"/>
        </w:rPr>
      </w:pPr>
      <w:r w:rsidRPr="004131D6">
        <w:rPr>
          <w:rFonts w:cs="Times New Roman"/>
          <w:b/>
          <w:szCs w:val="24"/>
        </w:rPr>
        <w:t>MADDE GEREKÇELERİ</w:t>
      </w:r>
    </w:p>
    <w:p w14:paraId="6560BC4B" w14:textId="77777777" w:rsidR="00B0592A" w:rsidRPr="004131D6" w:rsidRDefault="00B0592A" w:rsidP="00B0592A">
      <w:pPr>
        <w:jc w:val="both"/>
        <w:rPr>
          <w:rFonts w:cs="Times New Roman"/>
          <w:szCs w:val="24"/>
        </w:rPr>
      </w:pPr>
    </w:p>
    <w:p w14:paraId="4B246FA3" w14:textId="3D85D5D1" w:rsidR="00B0592A" w:rsidRPr="004131D6" w:rsidRDefault="00B0592A" w:rsidP="00B0592A">
      <w:pPr>
        <w:ind w:firstLine="708"/>
        <w:jc w:val="both"/>
        <w:rPr>
          <w:rFonts w:cs="Times New Roman"/>
          <w:szCs w:val="24"/>
        </w:rPr>
      </w:pPr>
      <w:r w:rsidRPr="004131D6">
        <w:rPr>
          <w:rFonts w:cs="Times New Roman"/>
          <w:b/>
          <w:szCs w:val="24"/>
        </w:rPr>
        <w:t>MADDE 1-</w:t>
      </w:r>
      <w:r w:rsidRPr="004131D6">
        <w:rPr>
          <w:rFonts w:cs="Times New Roman"/>
          <w:szCs w:val="24"/>
        </w:rPr>
        <w:t xml:space="preserve"> 1982 Anayasasının “Piyasaların denetimi ve dış ticaretin düzenlenmesi” başlıklı </w:t>
      </w:r>
      <w:proofErr w:type="gramStart"/>
      <w:r w:rsidRPr="004131D6">
        <w:rPr>
          <w:rFonts w:cs="Times New Roman"/>
          <w:szCs w:val="24"/>
        </w:rPr>
        <w:t xml:space="preserve">167 </w:t>
      </w:r>
      <w:proofErr w:type="spellStart"/>
      <w:r w:rsidRPr="004131D6">
        <w:rPr>
          <w:rFonts w:cs="Times New Roman"/>
          <w:szCs w:val="24"/>
        </w:rPr>
        <w:t>nci</w:t>
      </w:r>
      <w:proofErr w:type="spellEnd"/>
      <w:proofErr w:type="gramEnd"/>
      <w:r w:rsidRPr="004131D6">
        <w:rPr>
          <w:rFonts w:cs="Times New Roman"/>
          <w:szCs w:val="24"/>
        </w:rPr>
        <w:t xml:space="preserve"> maddesi “Devlet, para, kredi, sermaye, mal ve hizmet piyasalarının sağlıklı ve düzenli işlemelerini sağlayıcı ve geliştirici tedbirleri alır; piyasalarda fiilî veya anlaşma sonucu doğacak tekelleşme ve kartelleşmeyi önler.” hükmün</w:t>
      </w:r>
      <w:r w:rsidR="00A30210" w:rsidRPr="004131D6">
        <w:rPr>
          <w:rFonts w:cs="Times New Roman"/>
          <w:szCs w:val="24"/>
        </w:rPr>
        <w:t>ü</w:t>
      </w:r>
      <w:r w:rsidRPr="004131D6">
        <w:rPr>
          <w:rFonts w:cs="Times New Roman"/>
          <w:szCs w:val="24"/>
        </w:rPr>
        <w:t xml:space="preserve"> haizdir. Buna göre satın alınan ürünlere yönelik satış sonrası hizmetlerin düzenlenmesiyle piyasadaki firmaların kurumsallaşması,</w:t>
      </w:r>
      <w:r w:rsidR="00213B9A" w:rsidRPr="004131D6">
        <w:rPr>
          <w:rFonts w:cs="Times New Roman"/>
          <w:szCs w:val="24"/>
        </w:rPr>
        <w:t xml:space="preserve"> </w:t>
      </w:r>
      <w:r w:rsidRPr="004131D6">
        <w:rPr>
          <w:rFonts w:cs="Times New Roman"/>
          <w:szCs w:val="24"/>
        </w:rPr>
        <w:t xml:space="preserve">kurumsallaşmış olanların ise düzeylerinin </w:t>
      </w:r>
      <w:r w:rsidR="00FF47F0" w:rsidRPr="004131D6">
        <w:rPr>
          <w:rFonts w:cs="Times New Roman"/>
          <w:szCs w:val="24"/>
        </w:rPr>
        <w:t xml:space="preserve">ve sayılarının </w:t>
      </w:r>
      <w:r w:rsidRPr="004131D6">
        <w:rPr>
          <w:rFonts w:cs="Times New Roman"/>
          <w:szCs w:val="24"/>
        </w:rPr>
        <w:t>artırılması sonucu mal ve hizmet piyasalarında bir iyileşmenin sağlanması amaçlanmaktadır.</w:t>
      </w:r>
    </w:p>
    <w:p w14:paraId="4FDB8F0A" w14:textId="77777777" w:rsidR="00B0592A" w:rsidRPr="004131D6" w:rsidRDefault="00B0592A" w:rsidP="00B0592A">
      <w:pPr>
        <w:jc w:val="both"/>
        <w:rPr>
          <w:rFonts w:cs="Times New Roman"/>
          <w:szCs w:val="24"/>
        </w:rPr>
      </w:pPr>
    </w:p>
    <w:p w14:paraId="0E0009F1" w14:textId="74EB666B" w:rsidR="00B0592A" w:rsidRPr="004131D6" w:rsidRDefault="00B0592A" w:rsidP="00B0592A">
      <w:pPr>
        <w:ind w:firstLine="708"/>
        <w:jc w:val="both"/>
        <w:rPr>
          <w:rFonts w:cs="Times New Roman"/>
          <w:szCs w:val="24"/>
        </w:rPr>
      </w:pPr>
      <w:r w:rsidRPr="004131D6">
        <w:rPr>
          <w:rFonts w:cs="Times New Roman"/>
          <w:b/>
          <w:bCs/>
          <w:szCs w:val="24"/>
        </w:rPr>
        <w:t>MADDE 2</w:t>
      </w:r>
      <w:r w:rsidRPr="004131D6">
        <w:rPr>
          <w:rFonts w:cs="Times New Roman"/>
          <w:szCs w:val="24"/>
        </w:rPr>
        <w:t>- Kanunun kapsamının belirlendiği ikinci maddede “sanayi işletmelerinin”, “yapı müteahhitlerinin” ve “kamu tüzel kişilerinin” kapsam dâhilinde olduğu belirtilmiştir. Böylece bu aktörler satın aldıkları sanayi ürünlerine yönelik satış sonrası hizmetler konusunda koruma altına alınmaktadır.</w:t>
      </w:r>
      <w:r w:rsidR="00E57DE3" w:rsidRPr="004131D6">
        <w:rPr>
          <w:rFonts w:cs="Times New Roman"/>
          <w:szCs w:val="24"/>
        </w:rPr>
        <w:t xml:space="preserve"> </w:t>
      </w:r>
      <w:r w:rsidRPr="004131D6">
        <w:rPr>
          <w:rFonts w:cs="Times New Roman"/>
          <w:szCs w:val="24"/>
        </w:rPr>
        <w:t>Örneğin, bir iş makinesi satın alan yapı müteahhidi ya da bir bilgisayar kontrollü işleme merkezi satın alan sanayi işletmeleri bu ürünler için garanti süresi, tamir süresi, bölgelere göre teknik servis istasyonu sayısı gibi satış sonrası hizmet kriterleri konusunda güvenilirliği artırılmış taraflarla muhatap olacaklardır.</w:t>
      </w:r>
    </w:p>
    <w:p w14:paraId="328A2011" w14:textId="77777777" w:rsidR="00B0592A" w:rsidRPr="004131D6" w:rsidRDefault="00B0592A" w:rsidP="00B0592A">
      <w:pPr>
        <w:ind w:firstLine="708"/>
        <w:jc w:val="both"/>
        <w:rPr>
          <w:rFonts w:cs="Times New Roman"/>
          <w:szCs w:val="24"/>
        </w:rPr>
      </w:pPr>
    </w:p>
    <w:p w14:paraId="419770B8" w14:textId="166FA6E8" w:rsidR="00B0592A" w:rsidRPr="004131D6" w:rsidRDefault="00B0592A" w:rsidP="00E57DE3">
      <w:pPr>
        <w:ind w:firstLine="708"/>
        <w:jc w:val="both"/>
        <w:rPr>
          <w:szCs w:val="24"/>
        </w:rPr>
      </w:pPr>
      <w:r w:rsidRPr="004131D6">
        <w:rPr>
          <w:rFonts w:cs="Times New Roman"/>
          <w:b/>
          <w:bCs/>
          <w:szCs w:val="24"/>
          <w:lang w:bidi="tr-TR"/>
        </w:rPr>
        <w:t xml:space="preserve">MADDE 3- </w:t>
      </w:r>
      <w:r w:rsidRPr="004131D6">
        <w:rPr>
          <w:rFonts w:cs="Times New Roman"/>
          <w:szCs w:val="24"/>
          <w:lang w:bidi="tr-TR"/>
        </w:rPr>
        <w:t>Bu madde tanımlar maddesi olup, Kanunda geçen ana kavramların tanımlarına yer verilmiştir.</w:t>
      </w:r>
      <w:r w:rsidR="00E57DE3" w:rsidRPr="004131D6">
        <w:rPr>
          <w:rFonts w:cs="Times New Roman"/>
          <w:szCs w:val="24"/>
          <w:lang w:bidi="tr-TR"/>
        </w:rPr>
        <w:t xml:space="preserve"> </w:t>
      </w:r>
      <w:r w:rsidRPr="004131D6">
        <w:rPr>
          <w:szCs w:val="24"/>
        </w:rPr>
        <w:t>Buna göre</w:t>
      </w:r>
      <w:r w:rsidR="00E57DE3" w:rsidRPr="004131D6">
        <w:rPr>
          <w:szCs w:val="24"/>
        </w:rPr>
        <w:t>, sırasıyla Bakanlık, ithalatçı, kullanım ömrü tanımları yapılmış,</w:t>
      </w:r>
      <w:r w:rsidRPr="004131D6">
        <w:rPr>
          <w:szCs w:val="24"/>
        </w:rPr>
        <w:t xml:space="preserve"> sanayi işletmesi ve yapı müteahhitlerinin kimler olduğu belirlenmiş, sanayi ürünlerinin sanayi işletmesi tarafından üretilenlerden Bakanlıkça ilan edilenleri kapsayacağı tanımlanmış</w:t>
      </w:r>
      <w:r w:rsidR="00E57DE3" w:rsidRPr="004131D6">
        <w:rPr>
          <w:szCs w:val="24"/>
        </w:rPr>
        <w:t xml:space="preserve">, bunların yanı sıra satıcı tanımı yapılmış, </w:t>
      </w:r>
      <w:r w:rsidRPr="004131D6">
        <w:rPr>
          <w:szCs w:val="24"/>
        </w:rPr>
        <w:t>satış sonrası hizmetlerin hangi faaliyetleri kapsadığı konusunda genel bir çerçeve çizilmiş</w:t>
      </w:r>
      <w:r w:rsidR="00E57DE3" w:rsidRPr="004131D6">
        <w:rPr>
          <w:szCs w:val="24"/>
        </w:rPr>
        <w:t xml:space="preserve">, devamında ise teknik düzenleme, üretici ve ürün tanımlarına yer verilmiştir. </w:t>
      </w:r>
    </w:p>
    <w:p w14:paraId="69CC1CFB" w14:textId="77777777" w:rsidR="00B0592A" w:rsidRPr="004131D6" w:rsidRDefault="00B0592A" w:rsidP="00B0592A">
      <w:pPr>
        <w:pStyle w:val="Gvdemetni0"/>
        <w:ind w:firstLine="700"/>
        <w:jc w:val="both"/>
        <w:rPr>
          <w:sz w:val="24"/>
          <w:szCs w:val="24"/>
        </w:rPr>
      </w:pPr>
    </w:p>
    <w:p w14:paraId="4300C3D4" w14:textId="2F3CE2C7" w:rsidR="00B0592A" w:rsidRPr="004131D6" w:rsidRDefault="00B0592A" w:rsidP="00697217">
      <w:pPr>
        <w:pStyle w:val="Gvdemetni0"/>
        <w:ind w:firstLine="700"/>
        <w:jc w:val="both"/>
      </w:pPr>
      <w:r w:rsidRPr="004131D6">
        <w:rPr>
          <w:b/>
          <w:bCs/>
          <w:sz w:val="24"/>
          <w:szCs w:val="24"/>
          <w:lang w:bidi="tr-TR"/>
        </w:rPr>
        <w:t xml:space="preserve">MADDE 4- </w:t>
      </w:r>
      <w:bookmarkStart w:id="0" w:name="_Hlk78271418"/>
      <w:r w:rsidRPr="004131D6">
        <w:t xml:space="preserve">Birinci fıkrada, </w:t>
      </w:r>
      <w:r w:rsidRPr="004131D6">
        <w:rPr>
          <w:szCs w:val="24"/>
          <w:lang w:bidi="tr-TR"/>
        </w:rPr>
        <w:t>üretici veya ithalatçıların ürettikleri veya ithal ettikleri mallar için o malın Bakanlıkça tespit edilen kullanım ömrü süresince bakım ve onarım hizmetlerini sunmaları zorunlu kılınmıştır. Böylece ürün için kullanıcılara, sadece garanti süresi boyunca değil Bakanlıkça tespit ve ilan edilecek kullanım ömrünün tamamı boyunca yedek parça, bakım ve onarım gibi satış sonrası hizmetlerin sağlanması suretiyle garanti süresi dolan ürünlerin satış sonrası hizmetlerinde yaşanan mağduriyetlerin önüne geçilmesi ve sanayi işletmelerinin, yapı müteahhitlerinin ve kamu tüzel kişilerinin satın aldıkları sanayi mallarından kullanım ömürleri boyunca faydalanabilmeleri amaçlanmaktadır.</w:t>
      </w:r>
    </w:p>
    <w:bookmarkEnd w:id="0"/>
    <w:p w14:paraId="0F65800C" w14:textId="77777777" w:rsidR="00B0592A" w:rsidRPr="004131D6" w:rsidRDefault="00B0592A" w:rsidP="00B0592A">
      <w:pPr>
        <w:pStyle w:val="Gvdemetni0"/>
        <w:ind w:firstLine="700"/>
        <w:jc w:val="both"/>
        <w:rPr>
          <w:sz w:val="24"/>
          <w:szCs w:val="24"/>
          <w:lang w:bidi="tr-TR"/>
        </w:rPr>
      </w:pPr>
      <w:r w:rsidRPr="004131D6">
        <w:rPr>
          <w:sz w:val="24"/>
          <w:szCs w:val="24"/>
          <w:lang w:bidi="tr-TR"/>
        </w:rPr>
        <w:t>İkinci fıkrada, üretici ve ithalatçıların Bakanlık tarafından ikincil düzenlemeyle belirlenecek mallar için Bakanlıktan ya da Bakanlıkça yetkilendirilen kuruluşlardan satış sonrası hizmet yeterlilik belgesi almak zorunda olduğu düzenlenmiştir.</w:t>
      </w:r>
    </w:p>
    <w:p w14:paraId="43EE12A4" w14:textId="676D4E29" w:rsidR="00B0592A" w:rsidRPr="004131D6" w:rsidRDefault="00B0592A" w:rsidP="00B0592A">
      <w:pPr>
        <w:pStyle w:val="Gvdemetni0"/>
        <w:ind w:firstLine="700"/>
        <w:jc w:val="both"/>
        <w:rPr>
          <w:sz w:val="24"/>
          <w:szCs w:val="24"/>
          <w:lang w:bidi="tr-TR"/>
        </w:rPr>
      </w:pPr>
      <w:r w:rsidRPr="004131D6">
        <w:rPr>
          <w:sz w:val="24"/>
          <w:szCs w:val="24"/>
          <w:lang w:bidi="tr-TR"/>
        </w:rPr>
        <w:t>Üçüncü fıkrada, bir ürünün arızalanması durumunda</w:t>
      </w:r>
      <w:r w:rsidR="00A41FA9" w:rsidRPr="004131D6">
        <w:rPr>
          <w:sz w:val="24"/>
          <w:szCs w:val="24"/>
          <w:lang w:bidi="tr-TR"/>
        </w:rPr>
        <w:t xml:space="preserve">, aksi alıcı ve satıcı arasında kararlaştırılmadıkça, </w:t>
      </w:r>
      <w:r w:rsidRPr="004131D6">
        <w:rPr>
          <w:sz w:val="24"/>
          <w:szCs w:val="24"/>
          <w:lang w:bidi="tr-TR"/>
        </w:rPr>
        <w:t xml:space="preserve">yetkili servislerdeki azami tamir süresinin altmış günü aşamayacağı hüküm altına alınmıştır. Yapılan düzenleme ile taraflara tamir süresi hususunda belirleme yapma serbestisi bırakılmasına karşın, tarafların bu hususta bir belirleme yapmaması halinde tamamlayıcı hukuk kuralı oluşturularak tamir süresi konusunda yaşanabilecek mağduriyetlerin önüne geçilmesi amaçlanmaktadır. </w:t>
      </w:r>
    </w:p>
    <w:p w14:paraId="1F4E05F5" w14:textId="3D8CAB52" w:rsidR="00B0592A" w:rsidRPr="004131D6" w:rsidRDefault="00B0592A" w:rsidP="00B0592A">
      <w:pPr>
        <w:pStyle w:val="Gvdemetni0"/>
        <w:ind w:firstLine="700"/>
        <w:jc w:val="both"/>
        <w:rPr>
          <w:sz w:val="24"/>
          <w:szCs w:val="24"/>
          <w:lang w:bidi="tr-TR"/>
        </w:rPr>
      </w:pPr>
      <w:r w:rsidRPr="004131D6">
        <w:rPr>
          <w:sz w:val="24"/>
          <w:szCs w:val="24"/>
          <w:lang w:bidi="tr-TR"/>
        </w:rPr>
        <w:t>Dördüncü fıkrada, Bakanlıkça belirlenen miktarda servis istasyonu açılması zorunlu tutulmuş</w:t>
      </w:r>
      <w:r w:rsidR="008F0F30" w:rsidRPr="004131D6">
        <w:rPr>
          <w:sz w:val="24"/>
          <w:szCs w:val="24"/>
          <w:lang w:bidi="tr-TR"/>
        </w:rPr>
        <w:t xml:space="preserve">tur. Ayrıca </w:t>
      </w:r>
      <w:r w:rsidRPr="004131D6">
        <w:rPr>
          <w:sz w:val="24"/>
          <w:szCs w:val="24"/>
          <w:lang w:bidi="tr-TR"/>
        </w:rPr>
        <w:t>üretici veya ithalatçıların, yetkili servis istasyonlarını kendilerinin kurabil</w:t>
      </w:r>
      <w:r w:rsidR="008F0F30" w:rsidRPr="004131D6">
        <w:rPr>
          <w:sz w:val="24"/>
          <w:szCs w:val="24"/>
          <w:lang w:bidi="tr-TR"/>
        </w:rPr>
        <w:t>melerinin yanı sıra</w:t>
      </w:r>
      <w:r w:rsidRPr="004131D6">
        <w:rPr>
          <w:sz w:val="24"/>
          <w:szCs w:val="24"/>
          <w:lang w:bidi="tr-TR"/>
        </w:rPr>
        <w:t xml:space="preserve"> servis istasyonlarının verdiği hizmetlerden sorumlu olmak şartıyla kurulu bulunan servis istasyonlarından veya servis organizasyonlarından da istifade edebilmelerine imkân sağlanmıştır. Nitekim bu düzenlemenin amacı yeterli sayıda servis istasyonunun bulunması </w:t>
      </w:r>
      <w:r w:rsidR="008F0F30" w:rsidRPr="004131D6">
        <w:rPr>
          <w:sz w:val="24"/>
          <w:szCs w:val="24"/>
          <w:lang w:bidi="tr-TR"/>
        </w:rPr>
        <w:t>ve bu sayede</w:t>
      </w:r>
      <w:r w:rsidRPr="004131D6">
        <w:rPr>
          <w:sz w:val="24"/>
          <w:szCs w:val="24"/>
          <w:lang w:bidi="tr-TR"/>
        </w:rPr>
        <w:t xml:space="preserve"> satış sonrası hizmetlerin belirli kalitede sürdürülebilmesinin sağlanması olduğundan üretici veya ithalatçıların verilen hizmetten </w:t>
      </w:r>
      <w:r w:rsidRPr="004131D6">
        <w:rPr>
          <w:sz w:val="24"/>
          <w:szCs w:val="24"/>
          <w:lang w:bidi="tr-TR"/>
        </w:rPr>
        <w:lastRenderedPageBreak/>
        <w:t xml:space="preserve">sorumlu olması koşuluyla kurulu bulunan servis istasyonlarından da faydalanabilmelerinin yolu açılmıştır.  </w:t>
      </w:r>
    </w:p>
    <w:p w14:paraId="0F473C75" w14:textId="0D5F643C" w:rsidR="00B0592A" w:rsidRPr="004131D6" w:rsidRDefault="00B0592A" w:rsidP="00B0592A">
      <w:pPr>
        <w:pStyle w:val="Gvdemetni0"/>
        <w:ind w:firstLine="700"/>
        <w:jc w:val="both"/>
        <w:rPr>
          <w:sz w:val="24"/>
          <w:szCs w:val="24"/>
          <w:lang w:bidi="tr-TR"/>
        </w:rPr>
      </w:pPr>
      <w:r w:rsidRPr="004131D6">
        <w:rPr>
          <w:sz w:val="24"/>
          <w:szCs w:val="24"/>
          <w:lang w:bidi="tr-TR"/>
        </w:rPr>
        <w:t>Beşinci fıkrada, servis istasyonlarını</w:t>
      </w:r>
      <w:r w:rsidR="008F0F30" w:rsidRPr="004131D6">
        <w:rPr>
          <w:sz w:val="24"/>
          <w:szCs w:val="24"/>
          <w:lang w:bidi="tr-TR"/>
        </w:rPr>
        <w:t>n</w:t>
      </w:r>
      <w:r w:rsidRPr="004131D6">
        <w:rPr>
          <w:sz w:val="24"/>
          <w:szCs w:val="24"/>
          <w:lang w:bidi="tr-TR"/>
        </w:rPr>
        <w:t xml:space="preserve"> hangi ürünler için </w:t>
      </w:r>
      <w:r w:rsidR="008F0F30" w:rsidRPr="004131D6">
        <w:rPr>
          <w:sz w:val="24"/>
          <w:szCs w:val="24"/>
          <w:lang w:bidi="tr-TR"/>
        </w:rPr>
        <w:t>kurulacağı,</w:t>
      </w:r>
      <w:r w:rsidRPr="004131D6">
        <w:rPr>
          <w:sz w:val="24"/>
          <w:szCs w:val="24"/>
          <w:lang w:bidi="tr-TR"/>
        </w:rPr>
        <w:t xml:space="preserve"> bu servis </w:t>
      </w:r>
      <w:r w:rsidR="00A41FA9" w:rsidRPr="004131D6">
        <w:rPr>
          <w:sz w:val="24"/>
          <w:szCs w:val="24"/>
          <w:lang w:bidi="tr-TR"/>
        </w:rPr>
        <w:t>istasyonlarının kuruluşu</w:t>
      </w:r>
      <w:r w:rsidRPr="004131D6">
        <w:rPr>
          <w:sz w:val="24"/>
          <w:szCs w:val="24"/>
          <w:lang w:bidi="tr-TR"/>
        </w:rPr>
        <w:t xml:space="preserve">, işleyişi, özellikleri </w:t>
      </w:r>
      <w:r w:rsidR="008F0F30" w:rsidRPr="004131D6">
        <w:rPr>
          <w:sz w:val="24"/>
          <w:szCs w:val="24"/>
          <w:lang w:bidi="tr-TR"/>
        </w:rPr>
        <w:t xml:space="preserve">ve </w:t>
      </w:r>
      <w:r w:rsidRPr="004131D6">
        <w:rPr>
          <w:sz w:val="24"/>
          <w:szCs w:val="24"/>
          <w:lang w:bidi="tr-TR"/>
        </w:rPr>
        <w:t>diğer</w:t>
      </w:r>
      <w:r w:rsidR="008F0F30" w:rsidRPr="004131D6">
        <w:rPr>
          <w:sz w:val="24"/>
          <w:szCs w:val="24"/>
          <w:lang w:bidi="tr-TR"/>
        </w:rPr>
        <w:t xml:space="preserve"> hususlara dair</w:t>
      </w:r>
      <w:r w:rsidRPr="004131D6">
        <w:rPr>
          <w:sz w:val="24"/>
          <w:szCs w:val="24"/>
          <w:lang w:bidi="tr-TR"/>
        </w:rPr>
        <w:t xml:space="preserve"> usul ve esaslar için Bakanlığa yönetmelik çıkarma yetkisi verilmiştir.</w:t>
      </w:r>
    </w:p>
    <w:p w14:paraId="3AE70DAD" w14:textId="77777777" w:rsidR="00B0592A" w:rsidRPr="004131D6" w:rsidRDefault="00B0592A" w:rsidP="00B0592A">
      <w:pPr>
        <w:pStyle w:val="Gvdemetni0"/>
        <w:ind w:firstLine="0"/>
        <w:jc w:val="both"/>
        <w:rPr>
          <w:sz w:val="24"/>
          <w:szCs w:val="24"/>
        </w:rPr>
      </w:pPr>
    </w:p>
    <w:p w14:paraId="3E4A8FA4" w14:textId="4DD4A8C2" w:rsidR="00B0592A" w:rsidRPr="004131D6" w:rsidRDefault="00B0592A" w:rsidP="00B0592A">
      <w:pPr>
        <w:ind w:firstLine="700"/>
        <w:jc w:val="both"/>
        <w:rPr>
          <w:rFonts w:cs="Times New Roman"/>
        </w:rPr>
      </w:pPr>
      <w:r w:rsidRPr="004131D6">
        <w:rPr>
          <w:b/>
          <w:bCs/>
          <w:szCs w:val="24"/>
        </w:rPr>
        <w:t xml:space="preserve">MADDE 5- </w:t>
      </w:r>
      <w:bookmarkStart w:id="1" w:name="_Hlk78274460"/>
      <w:r w:rsidRPr="004131D6">
        <w:rPr>
          <w:rFonts w:cs="Times New Roman"/>
        </w:rPr>
        <w:t xml:space="preserve">Birinci fıkrada, satış sonrası hizmeti sunan yetkili servis istasyonunun tüzel kişiliği olsa dahi üretici veya ithalatçının da hizmete ilişkin müteselsil sorumluluğu hüküm altına alınmıştır. Böylece satış sonrası hizmete ilişkin sorumluların kapsamı </w:t>
      </w:r>
      <w:proofErr w:type="spellStart"/>
      <w:r w:rsidRPr="004131D6">
        <w:rPr>
          <w:rFonts w:cs="Times New Roman"/>
        </w:rPr>
        <w:t>müteselsiliyet</w:t>
      </w:r>
      <w:proofErr w:type="spellEnd"/>
      <w:r w:rsidRPr="004131D6">
        <w:rPr>
          <w:rFonts w:cs="Times New Roman"/>
        </w:rPr>
        <w:t xml:space="preserve"> vasıtasıyla genişletilerek ürünü satın alan </w:t>
      </w:r>
      <w:r w:rsidRPr="004131D6">
        <w:rPr>
          <w:rFonts w:cs="Times New Roman"/>
          <w:szCs w:val="24"/>
        </w:rPr>
        <w:t xml:space="preserve">sanayi işletmeleri, yapı müteahhitleri veya kamu tüzel kişilerinin daha güvenli bir satış sonrası hizmete ulaşması amaçlanmaktadır. </w:t>
      </w:r>
    </w:p>
    <w:p w14:paraId="27C7BFA9" w14:textId="1060C457" w:rsidR="00B0592A" w:rsidRPr="004131D6" w:rsidRDefault="00B0592A" w:rsidP="00BF7876">
      <w:pPr>
        <w:ind w:firstLine="700"/>
        <w:jc w:val="both"/>
        <w:rPr>
          <w:rFonts w:cs="Times New Roman"/>
          <w:szCs w:val="24"/>
          <w:lang w:bidi="tr-TR"/>
        </w:rPr>
      </w:pPr>
      <w:bookmarkStart w:id="2" w:name="_Hlk78275852"/>
      <w:bookmarkEnd w:id="1"/>
      <w:r w:rsidRPr="004131D6">
        <w:rPr>
          <w:rFonts w:cs="Times New Roman"/>
          <w:szCs w:val="24"/>
          <w:lang w:bidi="tr-TR"/>
        </w:rPr>
        <w:t xml:space="preserve">İkinci fıkrada, ithalatçı firmaların ticari faaliyetinin sona ermesi nedeniyle </w:t>
      </w:r>
      <w:r w:rsidR="006B2D3D" w:rsidRPr="004131D6">
        <w:rPr>
          <w:rFonts w:cs="Times New Roman"/>
          <w:szCs w:val="24"/>
          <w:lang w:bidi="tr-TR"/>
        </w:rPr>
        <w:t xml:space="preserve">yaşanan </w:t>
      </w:r>
      <w:r w:rsidRPr="004131D6">
        <w:rPr>
          <w:rFonts w:cs="Times New Roman"/>
          <w:szCs w:val="24"/>
          <w:lang w:bidi="tr-TR"/>
        </w:rPr>
        <w:t>problem</w:t>
      </w:r>
      <w:r w:rsidR="006B2D3D" w:rsidRPr="004131D6">
        <w:rPr>
          <w:rFonts w:cs="Times New Roman"/>
          <w:szCs w:val="24"/>
          <w:lang w:bidi="tr-TR"/>
        </w:rPr>
        <w:t>ler</w:t>
      </w:r>
      <w:r w:rsidRPr="004131D6">
        <w:rPr>
          <w:rFonts w:cs="Times New Roman"/>
          <w:szCs w:val="24"/>
          <w:lang w:bidi="tr-TR"/>
        </w:rPr>
        <w:t xml:space="preserve">e çözüm bulunmaya çalışılmıştır. </w:t>
      </w:r>
      <w:r w:rsidR="006B2D3D" w:rsidRPr="004131D6">
        <w:rPr>
          <w:rFonts w:cs="Times New Roman"/>
          <w:szCs w:val="24"/>
          <w:lang w:bidi="tr-TR"/>
        </w:rPr>
        <w:t>B</w:t>
      </w:r>
      <w:r w:rsidRPr="004131D6">
        <w:rPr>
          <w:rFonts w:cs="Times New Roman"/>
          <w:szCs w:val="24"/>
          <w:lang w:bidi="tr-TR"/>
        </w:rPr>
        <w:t xml:space="preserve">u düzenleme </w:t>
      </w:r>
      <w:r w:rsidR="006B2D3D" w:rsidRPr="004131D6">
        <w:rPr>
          <w:rFonts w:cs="Times New Roman"/>
          <w:szCs w:val="24"/>
          <w:lang w:bidi="tr-TR"/>
        </w:rPr>
        <w:t>ile</w:t>
      </w:r>
      <w:r w:rsidRPr="004131D6">
        <w:rPr>
          <w:rFonts w:cs="Times New Roman"/>
          <w:szCs w:val="24"/>
          <w:lang w:bidi="tr-TR"/>
        </w:rPr>
        <w:t xml:space="preserve"> </w:t>
      </w:r>
      <w:r w:rsidR="006B2D3D" w:rsidRPr="004131D6">
        <w:rPr>
          <w:rFonts w:cs="Times New Roman"/>
          <w:szCs w:val="24"/>
          <w:lang w:bidi="tr-TR"/>
        </w:rPr>
        <w:t xml:space="preserve">bir ürün piyasaya sunulduktan sonra ithalatçısı ticari faaliyetine son verse dahi </w:t>
      </w:r>
      <w:r w:rsidRPr="004131D6">
        <w:rPr>
          <w:rFonts w:cs="Times New Roman"/>
          <w:szCs w:val="24"/>
          <w:lang w:bidi="tr-TR"/>
        </w:rPr>
        <w:t xml:space="preserve">ürünü satın alan </w:t>
      </w:r>
      <w:r w:rsidRPr="004131D6">
        <w:rPr>
          <w:rFonts w:cs="Times New Roman"/>
          <w:szCs w:val="24"/>
        </w:rPr>
        <w:t>sanayi işletmeleri, yapı müteahhitleri veya kamu tüzel kişileri</w:t>
      </w:r>
      <w:r w:rsidR="006B2D3D" w:rsidRPr="004131D6">
        <w:rPr>
          <w:rFonts w:cs="Times New Roman"/>
          <w:szCs w:val="24"/>
        </w:rPr>
        <w:t>;</w:t>
      </w:r>
      <w:r w:rsidRPr="004131D6">
        <w:rPr>
          <w:rFonts w:cs="Times New Roman"/>
          <w:szCs w:val="24"/>
        </w:rPr>
        <w:t xml:space="preserve"> ürüne ilişkin ihtiyaç duydukları bakım ve onarım hizmetine ulaşmak için üreticiye ve yeni ithalatçıya başvurabileceği gibi garanti süresi boyunca satıcıya da başvurabilme hakkına sahip olmuştur. Böylece bir yandan ürünü satın alanların bakım ve onarım hizmetine ulaşması kolaylaştırılırken diğer yandan satıcıların</w:t>
      </w:r>
      <w:r w:rsidRPr="004131D6">
        <w:rPr>
          <w:rFonts w:cs="Times New Roman"/>
          <w:szCs w:val="24"/>
          <w:lang w:bidi="tr-TR"/>
        </w:rPr>
        <w:t xml:space="preserve"> ürün temin ederken daha güvenilir ithalatçıları tercih etmesinin de sağlanacağı öngörülmektedir. </w:t>
      </w:r>
    </w:p>
    <w:bookmarkEnd w:id="2"/>
    <w:p w14:paraId="35108944" w14:textId="77777777" w:rsidR="00B0592A" w:rsidRPr="004131D6" w:rsidRDefault="00B0592A" w:rsidP="00B0592A">
      <w:pPr>
        <w:jc w:val="both"/>
        <w:rPr>
          <w:rFonts w:cs="Times New Roman"/>
          <w:szCs w:val="24"/>
        </w:rPr>
      </w:pPr>
    </w:p>
    <w:p w14:paraId="4EE9C9EA" w14:textId="6B58E8D6" w:rsidR="00B0592A" w:rsidRPr="004131D6" w:rsidRDefault="00B0592A" w:rsidP="00B87D76">
      <w:pPr>
        <w:ind w:firstLine="700"/>
        <w:jc w:val="both"/>
        <w:rPr>
          <w:rFonts w:cs="Times New Roman"/>
        </w:rPr>
      </w:pPr>
      <w:r w:rsidRPr="004131D6">
        <w:rPr>
          <w:rFonts w:cs="Times New Roman"/>
          <w:b/>
          <w:bCs/>
          <w:szCs w:val="24"/>
          <w:lang w:bidi="tr-TR"/>
        </w:rPr>
        <w:t xml:space="preserve">MADDE 6- </w:t>
      </w:r>
      <w:r w:rsidRPr="004131D6">
        <w:rPr>
          <w:rFonts w:cs="Times New Roman"/>
        </w:rPr>
        <w:t xml:space="preserve">Birinci fıkrada </w:t>
      </w:r>
      <w:r w:rsidRPr="004131D6">
        <w:rPr>
          <w:rFonts w:cs="Times New Roman"/>
          <w:szCs w:val="24"/>
          <w:lang w:bidi="tr-TR"/>
        </w:rPr>
        <w:t xml:space="preserve">sanayi işletmeleri, yapı müteahhitleri ve kamu tüzel kişilerinin satın aldıkları sanayi ürünlerine ilişkin garanti süresinin belirlenmesi zorunluluğu getirilmiştir. Bu zorunluluk kapsamında </w:t>
      </w:r>
      <w:r w:rsidRPr="004131D6">
        <w:rPr>
          <w:rFonts w:cs="Times New Roman"/>
        </w:rPr>
        <w:t>üretici, ithalatçı ve satıcıların ayrı bir garanti belgesi düzenlemesi gerekmemekte</w:t>
      </w:r>
      <w:r w:rsidR="00CB3778" w:rsidRPr="004131D6">
        <w:rPr>
          <w:rFonts w:cs="Times New Roman"/>
        </w:rPr>
        <w:t>,</w:t>
      </w:r>
      <w:r w:rsidRPr="004131D6">
        <w:rPr>
          <w:rFonts w:cs="Times New Roman"/>
        </w:rPr>
        <w:t xml:space="preserve"> tarafların aralarında akdettikleri sözleşmede garanti süresine ilişkin bir kaydın bulunması yeterli </w:t>
      </w:r>
      <w:r w:rsidR="00B87D76" w:rsidRPr="004131D6">
        <w:rPr>
          <w:rFonts w:cs="Times New Roman"/>
        </w:rPr>
        <w:t>görülmektedir</w:t>
      </w:r>
      <w:r w:rsidRPr="004131D6">
        <w:rPr>
          <w:rFonts w:cs="Times New Roman"/>
        </w:rPr>
        <w:t xml:space="preserve">. </w:t>
      </w:r>
    </w:p>
    <w:p w14:paraId="79F3F670" w14:textId="76AFE06C" w:rsidR="00B0592A" w:rsidRPr="004131D6" w:rsidRDefault="00B0592A" w:rsidP="00B0592A">
      <w:pPr>
        <w:ind w:firstLine="700"/>
        <w:jc w:val="both"/>
        <w:rPr>
          <w:rFonts w:cs="Times New Roman"/>
          <w:szCs w:val="24"/>
          <w:lang w:bidi="tr-TR"/>
        </w:rPr>
      </w:pPr>
      <w:bookmarkStart w:id="3" w:name="_Hlk78279484"/>
      <w:r w:rsidRPr="004131D6">
        <w:rPr>
          <w:rFonts w:cs="Times New Roman"/>
          <w:szCs w:val="24"/>
        </w:rPr>
        <w:t>İkinci fıkrada, garanti süresi en az iki yıl olarak belirlenmiştir.</w:t>
      </w:r>
      <w:r w:rsidR="00F34F00" w:rsidRPr="004131D6">
        <w:rPr>
          <w:rFonts w:cs="Times New Roman"/>
          <w:szCs w:val="24"/>
        </w:rPr>
        <w:t xml:space="preserve"> Taraflar </w:t>
      </w:r>
      <w:r w:rsidR="00070D34" w:rsidRPr="004131D6">
        <w:rPr>
          <w:rFonts w:cs="Times New Roman"/>
          <w:szCs w:val="24"/>
        </w:rPr>
        <w:t>bir sebeple aralarında garanti süresini belirlememiş olsa dahi, ürünü satın alanlar bu fıkra uyarınca tanınan iki yıllık garanti süresinden faydalanır. Bunun yanında, tarafların garanti süresini iki yıldan uzun belirlemesi ile</w:t>
      </w:r>
      <w:r w:rsidR="004131D6">
        <w:rPr>
          <w:rFonts w:cs="Times New Roman"/>
          <w:szCs w:val="24"/>
        </w:rPr>
        <w:t xml:space="preserve"> </w:t>
      </w:r>
      <w:r w:rsidR="00070D34" w:rsidRPr="004131D6">
        <w:rPr>
          <w:rFonts w:cs="Times New Roman"/>
          <w:szCs w:val="24"/>
          <w:lang w:bidi="tr-TR"/>
        </w:rPr>
        <w:t xml:space="preserve">süre dışında başka bir ölçü birimi ile de belirlemesi mümkün kılınmıştır. </w:t>
      </w:r>
      <w:r w:rsidR="00070D34" w:rsidRPr="004131D6">
        <w:rPr>
          <w:rFonts w:cs="Times New Roman"/>
          <w:szCs w:val="24"/>
        </w:rPr>
        <w:t xml:space="preserve"> </w:t>
      </w:r>
      <w:r w:rsidRPr="004131D6">
        <w:rPr>
          <w:rFonts w:cs="Times New Roman"/>
          <w:szCs w:val="24"/>
          <w:lang w:bidi="tr-TR"/>
        </w:rPr>
        <w:t>Örneğin, iş makinelerinde çalışma saati,</w:t>
      </w:r>
      <w:r w:rsidRPr="004131D6">
        <w:rPr>
          <w:rFonts w:cs="Times New Roman"/>
        </w:rPr>
        <w:t xml:space="preserve"> </w:t>
      </w:r>
      <w:r w:rsidRPr="004131D6">
        <w:rPr>
          <w:rFonts w:cs="Times New Roman"/>
          <w:szCs w:val="24"/>
          <w:lang w:bidi="tr-TR"/>
        </w:rPr>
        <w:t>fotokopi makinelerinde çekim adedi gibi kriterler belirlenerek bunlardan hangisi önce dolarsa garanti süresinin sona erdiği kabul edilebilir.</w:t>
      </w:r>
    </w:p>
    <w:bookmarkEnd w:id="3"/>
    <w:p w14:paraId="468A79C8" w14:textId="77777777" w:rsidR="00B0592A" w:rsidRPr="004131D6" w:rsidRDefault="00B0592A" w:rsidP="00B0592A">
      <w:pPr>
        <w:jc w:val="both"/>
        <w:rPr>
          <w:rFonts w:cs="Times New Roman"/>
          <w:szCs w:val="24"/>
        </w:rPr>
      </w:pPr>
    </w:p>
    <w:p w14:paraId="496EC46C" w14:textId="6DD35A5F" w:rsidR="00B0592A" w:rsidRPr="004131D6" w:rsidRDefault="00B0592A" w:rsidP="00B0592A">
      <w:pPr>
        <w:ind w:firstLine="700"/>
        <w:jc w:val="both"/>
        <w:rPr>
          <w:rFonts w:cs="Times New Roman"/>
          <w:szCs w:val="24"/>
          <w:lang w:bidi="tr-TR"/>
        </w:rPr>
      </w:pPr>
      <w:r w:rsidRPr="004131D6">
        <w:rPr>
          <w:rFonts w:cs="Times New Roman"/>
          <w:b/>
          <w:bCs/>
          <w:szCs w:val="24"/>
          <w:lang w:bidi="tr-TR"/>
        </w:rPr>
        <w:t xml:space="preserve">MADDE 7- </w:t>
      </w:r>
      <w:r w:rsidRPr="004131D6">
        <w:rPr>
          <w:rFonts w:cs="Times New Roman"/>
          <w:szCs w:val="24"/>
          <w:lang w:bidi="tr-TR"/>
        </w:rPr>
        <w:t>Bu madde Bakanlıkça görevlendirilecek personelin denetleme, inceleme ve araştırma yapmaya yetkili olduğunu saptamaktadır.</w:t>
      </w:r>
    </w:p>
    <w:p w14:paraId="39724A1D" w14:textId="77777777" w:rsidR="00B0592A" w:rsidRPr="004131D6" w:rsidRDefault="00B0592A" w:rsidP="00B0592A">
      <w:pPr>
        <w:ind w:firstLine="708"/>
        <w:jc w:val="both"/>
        <w:rPr>
          <w:rFonts w:cs="Times New Roman"/>
          <w:szCs w:val="24"/>
          <w:lang w:bidi="tr-TR"/>
        </w:rPr>
      </w:pPr>
      <w:r w:rsidRPr="004131D6">
        <w:rPr>
          <w:rFonts w:cs="Times New Roman"/>
          <w:szCs w:val="24"/>
          <w:lang w:bidi="tr-TR"/>
        </w:rPr>
        <w:t>İkinci fıkra bilgi ve belge istemi hakkındadır. Denetimin gereği gibi yapılabilmesi için bütün bilgi ve belgelerin doğru olarak gösterilmesi, i</w:t>
      </w:r>
      <w:bookmarkStart w:id="4" w:name="_GoBack"/>
      <w:bookmarkEnd w:id="4"/>
      <w:r w:rsidRPr="004131D6">
        <w:rPr>
          <w:rFonts w:cs="Times New Roman"/>
          <w:szCs w:val="24"/>
          <w:lang w:bidi="tr-TR"/>
        </w:rPr>
        <w:t>stenmesi halinde belgelerin aslının veya onaylı kopyalarının verilmesi yükümlülüğü de vurgulanmıştır.</w:t>
      </w:r>
    </w:p>
    <w:p w14:paraId="7091FD12" w14:textId="4C0535D0" w:rsidR="00B0592A" w:rsidRPr="004131D6" w:rsidRDefault="00B0592A" w:rsidP="00B0592A">
      <w:pPr>
        <w:ind w:firstLine="708"/>
        <w:jc w:val="both"/>
        <w:rPr>
          <w:rFonts w:cs="Times New Roman"/>
          <w:szCs w:val="24"/>
        </w:rPr>
      </w:pPr>
      <w:r w:rsidRPr="004131D6">
        <w:rPr>
          <w:rFonts w:cs="Times New Roman"/>
          <w:szCs w:val="24"/>
        </w:rPr>
        <w:t xml:space="preserve">Üçüncü fıkra, Bakanlık tarafından fiilen denetim gerçekleştirmeleri ve denetime iştirak etmeleri için görevlendirilen personele harcırah ödenmesine hükmetmektedir. Bu nedenle söz konusu personele Kanunda, 10/2/1954 tarihli ve 6245 sayılı Harcırah Kanununa göre ödeme yapılması </w:t>
      </w:r>
      <w:r w:rsidR="00192812" w:rsidRPr="004131D6">
        <w:rPr>
          <w:rFonts w:cs="Times New Roman"/>
          <w:szCs w:val="24"/>
        </w:rPr>
        <w:t xml:space="preserve">hususu </w:t>
      </w:r>
      <w:r w:rsidRPr="004131D6">
        <w:rPr>
          <w:rFonts w:cs="Times New Roman"/>
          <w:szCs w:val="24"/>
        </w:rPr>
        <w:t>düzenlenmektedir.</w:t>
      </w:r>
    </w:p>
    <w:p w14:paraId="2DA6C854" w14:textId="77777777" w:rsidR="00B0592A" w:rsidRPr="004131D6" w:rsidRDefault="00B0592A" w:rsidP="00B0592A">
      <w:pPr>
        <w:jc w:val="both"/>
        <w:rPr>
          <w:rFonts w:cs="Times New Roman"/>
          <w:szCs w:val="24"/>
        </w:rPr>
      </w:pPr>
    </w:p>
    <w:p w14:paraId="72601248" w14:textId="3C308BAD" w:rsidR="00B0592A" w:rsidRPr="004131D6" w:rsidRDefault="00B0592A" w:rsidP="00B0592A">
      <w:pPr>
        <w:ind w:firstLine="708"/>
        <w:jc w:val="both"/>
        <w:rPr>
          <w:rFonts w:cs="Times New Roman"/>
          <w:szCs w:val="24"/>
          <w:lang w:bidi="tr-TR"/>
        </w:rPr>
      </w:pPr>
      <w:r w:rsidRPr="004131D6">
        <w:rPr>
          <w:rFonts w:cs="Times New Roman"/>
          <w:b/>
          <w:bCs/>
          <w:szCs w:val="24"/>
          <w:lang w:bidi="tr-TR"/>
        </w:rPr>
        <w:t xml:space="preserve">MADDE 8- </w:t>
      </w:r>
      <w:r w:rsidRPr="004131D6">
        <w:rPr>
          <w:rFonts w:cs="Times New Roman"/>
          <w:szCs w:val="24"/>
          <w:lang w:bidi="tr-TR"/>
        </w:rPr>
        <w:t>Bu madde ile bu Kanuna aykırı davrananlar hakkında uygulanacak idari yaptırımlar düzenlenmiştir.</w:t>
      </w:r>
    </w:p>
    <w:p w14:paraId="6AAA5734" w14:textId="77777777" w:rsidR="00B0592A" w:rsidRPr="004131D6" w:rsidRDefault="00B0592A" w:rsidP="00B0592A">
      <w:pPr>
        <w:jc w:val="both"/>
        <w:rPr>
          <w:rFonts w:cs="Times New Roman"/>
          <w:szCs w:val="24"/>
        </w:rPr>
      </w:pPr>
    </w:p>
    <w:p w14:paraId="23E05A42" w14:textId="77777777" w:rsidR="00B0592A" w:rsidRPr="004131D6" w:rsidRDefault="00B0592A" w:rsidP="00B0592A">
      <w:pPr>
        <w:ind w:firstLine="708"/>
        <w:jc w:val="both"/>
        <w:rPr>
          <w:rFonts w:cs="Times New Roman"/>
          <w:szCs w:val="24"/>
          <w:lang w:bidi="tr-TR"/>
        </w:rPr>
      </w:pPr>
      <w:r w:rsidRPr="004131D6">
        <w:rPr>
          <w:rFonts w:cs="Times New Roman"/>
          <w:b/>
          <w:bCs/>
          <w:szCs w:val="24"/>
          <w:lang w:bidi="tr-TR"/>
        </w:rPr>
        <w:t xml:space="preserve">MADDE 9- </w:t>
      </w:r>
      <w:r w:rsidRPr="004131D6">
        <w:rPr>
          <w:rFonts w:cs="Times New Roman"/>
          <w:szCs w:val="24"/>
          <w:lang w:bidi="tr-TR"/>
        </w:rPr>
        <w:t>Kanunun bu maddesi kesinleşen para cezalarının tahsili hakkında ayrıntılar içermektedir.</w:t>
      </w:r>
    </w:p>
    <w:p w14:paraId="70F34CD2" w14:textId="2543560F" w:rsidR="00B0592A" w:rsidRPr="004131D6" w:rsidRDefault="00B0592A" w:rsidP="00B0592A">
      <w:pPr>
        <w:ind w:firstLine="708"/>
        <w:jc w:val="both"/>
        <w:rPr>
          <w:rFonts w:cs="Times New Roman"/>
          <w:szCs w:val="24"/>
          <w:lang w:bidi="tr-TR"/>
        </w:rPr>
      </w:pPr>
      <w:r w:rsidRPr="004131D6">
        <w:rPr>
          <w:rFonts w:cs="Times New Roman"/>
          <w:szCs w:val="24"/>
          <w:lang w:bidi="tr-TR"/>
        </w:rPr>
        <w:t xml:space="preserve">Birinci fıkrada yapılan düzenleme ile </w:t>
      </w:r>
      <w:r w:rsidR="006A1BED" w:rsidRPr="004131D6">
        <w:rPr>
          <w:rFonts w:cs="Times New Roman"/>
          <w:szCs w:val="24"/>
          <w:lang w:bidi="tr-TR"/>
        </w:rPr>
        <w:t xml:space="preserve">idari para </w:t>
      </w:r>
      <w:r w:rsidRPr="004131D6">
        <w:rPr>
          <w:rFonts w:cs="Times New Roman"/>
          <w:szCs w:val="24"/>
          <w:lang w:bidi="tr-TR"/>
        </w:rPr>
        <w:t>cezaların</w:t>
      </w:r>
      <w:r w:rsidR="006A1BED" w:rsidRPr="004131D6">
        <w:rPr>
          <w:rFonts w:cs="Times New Roman"/>
          <w:szCs w:val="24"/>
          <w:lang w:bidi="tr-TR"/>
        </w:rPr>
        <w:t>ın,</w:t>
      </w:r>
      <w:r w:rsidRPr="004131D6">
        <w:rPr>
          <w:rFonts w:cs="Times New Roman"/>
          <w:szCs w:val="24"/>
          <w:lang w:bidi="tr-TR"/>
        </w:rPr>
        <w:t xml:space="preserve"> cezaya muhatap olanın merkezinin bulunduğu valilik tarafından uygulanacağı belirtilmiştir.</w:t>
      </w:r>
    </w:p>
    <w:p w14:paraId="40D712FE" w14:textId="3E1BEAAC" w:rsidR="00B0592A" w:rsidRPr="004131D6" w:rsidRDefault="00B0592A" w:rsidP="00B0592A">
      <w:pPr>
        <w:ind w:firstLine="708"/>
        <w:jc w:val="both"/>
        <w:rPr>
          <w:rFonts w:cs="Times New Roman"/>
          <w:szCs w:val="24"/>
          <w:lang w:bidi="tr-TR"/>
        </w:rPr>
      </w:pPr>
      <w:r w:rsidRPr="004131D6">
        <w:rPr>
          <w:rFonts w:cs="Times New Roman"/>
          <w:szCs w:val="24"/>
          <w:lang w:bidi="tr-TR"/>
        </w:rPr>
        <w:lastRenderedPageBreak/>
        <w:t>İkinci fıkra gereğince, bu Kanunda düzenlenen her türlü para cezası idari nitelikte olduğundan</w:t>
      </w:r>
      <w:r w:rsidR="00CB3778" w:rsidRPr="004131D6">
        <w:rPr>
          <w:rFonts w:cs="Times New Roman"/>
          <w:szCs w:val="24"/>
          <w:lang w:bidi="tr-TR"/>
        </w:rPr>
        <w:t xml:space="preserve"> </w:t>
      </w:r>
      <w:r w:rsidRPr="004131D6">
        <w:rPr>
          <w:rFonts w:cs="Times New Roman"/>
          <w:szCs w:val="24"/>
          <w:lang w:bidi="tr-TR"/>
        </w:rPr>
        <w:t>bunlara karşı 2577 sayılı Kanun hükümlerine göre yetkili idare mahkemesine başvurulabilir. Süresi içinde başvurunun yapılmamış olması halinde cezalar kesinleşir. İdare mahkemesi kararlarına karşı yapılacak itirazlar da 2577 sayılı Kanuna göre yapılacaktır. İdare mahkemesinde dava açılmış olması kararın yerine getirilmesini durdurmayacaktır. Cezaya muhatap öncelikle o ceza tebligatının gereğini yapacaktır.</w:t>
      </w:r>
    </w:p>
    <w:p w14:paraId="16007A1C" w14:textId="7E97606B" w:rsidR="00B0592A" w:rsidRPr="004131D6" w:rsidRDefault="00B0592A" w:rsidP="00B0592A">
      <w:pPr>
        <w:ind w:firstLine="708"/>
        <w:jc w:val="both"/>
        <w:rPr>
          <w:rFonts w:cs="Times New Roman"/>
          <w:szCs w:val="24"/>
        </w:rPr>
      </w:pPr>
      <w:r w:rsidRPr="004131D6">
        <w:rPr>
          <w:rFonts w:cs="Times New Roman"/>
          <w:szCs w:val="24"/>
          <w:lang w:bidi="tr-TR"/>
        </w:rPr>
        <w:t>Üçüncü fıkra gereği</w:t>
      </w:r>
      <w:r w:rsidR="006A1BED" w:rsidRPr="004131D6">
        <w:rPr>
          <w:rFonts w:cs="Times New Roman"/>
          <w:szCs w:val="24"/>
          <w:lang w:bidi="tr-TR"/>
        </w:rPr>
        <w:t>,</w:t>
      </w:r>
      <w:r w:rsidRPr="004131D6">
        <w:rPr>
          <w:rFonts w:cs="Times New Roman"/>
          <w:szCs w:val="24"/>
          <w:lang w:bidi="tr-TR"/>
        </w:rPr>
        <w:t xml:space="preserve"> bu Kanuna dayanılarak verilen </w:t>
      </w:r>
      <w:r w:rsidR="006A1BED" w:rsidRPr="004131D6">
        <w:rPr>
          <w:rFonts w:cs="Times New Roman"/>
          <w:szCs w:val="24"/>
          <w:lang w:bidi="tr-TR"/>
        </w:rPr>
        <w:t xml:space="preserve">idari </w:t>
      </w:r>
      <w:r w:rsidRPr="004131D6">
        <w:rPr>
          <w:rFonts w:cs="Times New Roman"/>
          <w:szCs w:val="24"/>
          <w:lang w:bidi="tr-TR"/>
        </w:rPr>
        <w:t xml:space="preserve">para cezalarının </w:t>
      </w:r>
      <w:r w:rsidR="00AF3547" w:rsidRPr="004131D6">
        <w:rPr>
          <w:rFonts w:cs="Times New Roman"/>
          <w:szCs w:val="24"/>
          <w:lang w:bidi="tr-TR"/>
        </w:rPr>
        <w:t>tebliğlerinden itibaren altmış gün</w:t>
      </w:r>
      <w:r w:rsidRPr="004131D6">
        <w:rPr>
          <w:rFonts w:cs="Times New Roman"/>
          <w:szCs w:val="24"/>
          <w:lang w:bidi="tr-TR"/>
        </w:rPr>
        <w:t xml:space="preserve"> içerisinde ödenmesi zorunlu kılınmıştır</w:t>
      </w:r>
      <w:r w:rsidR="006A1BED" w:rsidRPr="004131D6">
        <w:rPr>
          <w:rFonts w:cs="Times New Roman"/>
          <w:szCs w:val="24"/>
          <w:lang w:bidi="tr-TR"/>
        </w:rPr>
        <w:t>.</w:t>
      </w:r>
    </w:p>
    <w:p w14:paraId="2B5943DD" w14:textId="77777777" w:rsidR="00B0592A" w:rsidRPr="004131D6" w:rsidRDefault="00B0592A" w:rsidP="00B0592A">
      <w:pPr>
        <w:jc w:val="both"/>
        <w:rPr>
          <w:rFonts w:cs="Times New Roman"/>
          <w:szCs w:val="24"/>
        </w:rPr>
      </w:pPr>
    </w:p>
    <w:p w14:paraId="1A8D37E6" w14:textId="77777777" w:rsidR="00B0592A" w:rsidRPr="004131D6" w:rsidRDefault="00B0592A" w:rsidP="00B0592A">
      <w:pPr>
        <w:ind w:firstLine="708"/>
        <w:jc w:val="both"/>
        <w:rPr>
          <w:rFonts w:cs="Times New Roman"/>
          <w:szCs w:val="24"/>
          <w:lang w:bidi="tr-TR"/>
        </w:rPr>
      </w:pPr>
      <w:r w:rsidRPr="004131D6">
        <w:rPr>
          <w:rFonts w:cs="Times New Roman"/>
          <w:b/>
          <w:bCs/>
          <w:szCs w:val="24"/>
          <w:lang w:bidi="tr-TR"/>
        </w:rPr>
        <w:t xml:space="preserve">MADDE 10- </w:t>
      </w:r>
      <w:bookmarkStart w:id="5" w:name="_Hlk78289019"/>
      <w:r w:rsidRPr="004131D6">
        <w:rPr>
          <w:rFonts w:cs="Times New Roman"/>
          <w:szCs w:val="24"/>
          <w:lang w:bidi="tr-TR"/>
        </w:rPr>
        <w:t xml:space="preserve">Bu madde ile, </w:t>
      </w:r>
      <w:r w:rsidRPr="004131D6">
        <w:rPr>
          <w:rFonts w:cs="Times New Roman"/>
          <w:szCs w:val="24"/>
        </w:rPr>
        <w:t xml:space="preserve">sanayi işletmelerinin, yapı müteahhitlerinin ve kamu tüzel kişilerinin satın aldığı sanayi ürünlerinin satış sonrası hizmetlerine ilişkin haklarının korunmasına </w:t>
      </w:r>
      <w:r w:rsidRPr="004131D6">
        <w:rPr>
          <w:rFonts w:cs="Times New Roman"/>
          <w:szCs w:val="24"/>
          <w:lang w:bidi="tr-TR"/>
        </w:rPr>
        <w:t>yönelik Bakanlık masraflarının Bakanlık bütçesinden karşılanacağı hüküm altına alınmıştır.</w:t>
      </w:r>
    </w:p>
    <w:bookmarkEnd w:id="5"/>
    <w:p w14:paraId="36A63864" w14:textId="77777777" w:rsidR="00B0592A" w:rsidRPr="004131D6" w:rsidRDefault="00B0592A" w:rsidP="00B0592A">
      <w:pPr>
        <w:jc w:val="both"/>
        <w:rPr>
          <w:rFonts w:cs="Times New Roman"/>
          <w:szCs w:val="24"/>
        </w:rPr>
      </w:pPr>
    </w:p>
    <w:p w14:paraId="21CE12E5" w14:textId="5006ADF0" w:rsidR="00B0592A" w:rsidRPr="004131D6" w:rsidRDefault="00B0592A" w:rsidP="00B0592A">
      <w:pPr>
        <w:ind w:firstLine="708"/>
        <w:jc w:val="both"/>
        <w:rPr>
          <w:rFonts w:cs="Times New Roman"/>
          <w:szCs w:val="24"/>
        </w:rPr>
      </w:pPr>
      <w:r w:rsidRPr="004131D6">
        <w:rPr>
          <w:rFonts w:cs="Times New Roman"/>
          <w:b/>
          <w:bCs/>
          <w:szCs w:val="24"/>
          <w:lang w:bidi="tr-TR"/>
        </w:rPr>
        <w:t xml:space="preserve">MADDE 11- </w:t>
      </w:r>
      <w:r w:rsidRPr="004131D6">
        <w:rPr>
          <w:rFonts w:cs="Times New Roman"/>
          <w:szCs w:val="24"/>
          <w:lang w:bidi="tr-TR"/>
        </w:rPr>
        <w:t>Bu madde ile</w:t>
      </w:r>
      <w:r w:rsidR="00CB3778" w:rsidRPr="004131D6">
        <w:rPr>
          <w:rFonts w:cs="Times New Roman"/>
          <w:szCs w:val="24"/>
          <w:lang w:bidi="tr-TR"/>
        </w:rPr>
        <w:t>,</w:t>
      </w:r>
      <w:r w:rsidRPr="004131D6">
        <w:rPr>
          <w:rFonts w:cs="Times New Roman"/>
          <w:szCs w:val="24"/>
          <w:lang w:bidi="tr-TR"/>
        </w:rPr>
        <w:t xml:space="preserve"> bu Kanunda hüküm bulunmayan konularda genel hükümlerin uygulanacağına ilişkin düzenleme yapılmıştır. Alıcı ve satıcı taraflar arasındaki sorunların büyük bir çoğunluğu sözleşmeler hukukunu ilgilendirdiği için özellikle Türk Borçlar Kanunu hükümleri bu bağlamda büyük önem taşıyacak ve boşlukların doldurulmasında kullanılacaktır.</w:t>
      </w:r>
    </w:p>
    <w:p w14:paraId="79B7A85D" w14:textId="77777777" w:rsidR="00B0592A" w:rsidRPr="004131D6" w:rsidRDefault="00B0592A" w:rsidP="00B0592A">
      <w:pPr>
        <w:jc w:val="both"/>
        <w:rPr>
          <w:rFonts w:cs="Times New Roman"/>
          <w:szCs w:val="24"/>
        </w:rPr>
      </w:pPr>
    </w:p>
    <w:p w14:paraId="15C2FB70" w14:textId="77777777" w:rsidR="00B0592A" w:rsidRPr="004131D6" w:rsidRDefault="00B0592A" w:rsidP="00B0592A">
      <w:pPr>
        <w:ind w:firstLine="708"/>
        <w:jc w:val="both"/>
        <w:rPr>
          <w:rFonts w:cs="Times New Roman"/>
          <w:szCs w:val="24"/>
          <w:lang w:bidi="tr-TR"/>
        </w:rPr>
      </w:pPr>
      <w:r w:rsidRPr="004131D6">
        <w:rPr>
          <w:rFonts w:cs="Times New Roman"/>
          <w:b/>
          <w:bCs/>
          <w:szCs w:val="24"/>
          <w:lang w:bidi="tr-TR"/>
        </w:rPr>
        <w:t xml:space="preserve">MADDE 12- </w:t>
      </w:r>
      <w:r w:rsidRPr="004131D6">
        <w:rPr>
          <w:rFonts w:cs="Times New Roman"/>
          <w:szCs w:val="24"/>
          <w:lang w:bidi="tr-TR"/>
        </w:rPr>
        <w:t>Bakanlık, Kanunun uygulanmasıyla ilgili olarak gerekli tedbirleri almaya ve düzenlemeleri yapmaya yetkilidir. Bu Kanuna dayanılarak çıkarılması gereken yönetmelikler Kanunun yürürlüğe giriş tarihinden sonra çıkarılacaktır.</w:t>
      </w:r>
    </w:p>
    <w:p w14:paraId="7434B0B4" w14:textId="77777777" w:rsidR="00B0592A" w:rsidRPr="004131D6" w:rsidRDefault="00B0592A" w:rsidP="00B0592A">
      <w:pPr>
        <w:jc w:val="both"/>
        <w:rPr>
          <w:rFonts w:cs="Times New Roman"/>
          <w:szCs w:val="24"/>
          <w:lang w:bidi="tr-TR"/>
        </w:rPr>
      </w:pPr>
    </w:p>
    <w:p w14:paraId="0DEC99F8" w14:textId="38D6D965" w:rsidR="00B0592A" w:rsidRPr="004131D6" w:rsidRDefault="00B0592A" w:rsidP="00B0592A">
      <w:pPr>
        <w:ind w:firstLine="708"/>
        <w:jc w:val="both"/>
        <w:rPr>
          <w:rFonts w:cs="Times New Roman"/>
          <w:szCs w:val="24"/>
          <w:lang w:bidi="tr-TR"/>
        </w:rPr>
      </w:pPr>
      <w:r w:rsidRPr="004131D6">
        <w:rPr>
          <w:rFonts w:cs="Times New Roman"/>
          <w:b/>
          <w:bCs/>
          <w:szCs w:val="24"/>
          <w:lang w:bidi="tr-TR"/>
        </w:rPr>
        <w:t xml:space="preserve">GEÇİCİ MADDE 1- </w:t>
      </w:r>
      <w:r w:rsidRPr="004131D6">
        <w:rPr>
          <w:rFonts w:cs="Times New Roman"/>
          <w:szCs w:val="24"/>
          <w:lang w:bidi="tr-TR"/>
        </w:rPr>
        <w:t xml:space="preserve">Kanunun yürürlüğe girmesiyle birlikte uygulamada yaşanabilecek sorunların giderilmesi </w:t>
      </w:r>
      <w:r w:rsidR="00AF3547" w:rsidRPr="004131D6">
        <w:rPr>
          <w:rFonts w:cs="Times New Roman"/>
          <w:szCs w:val="24"/>
          <w:lang w:bidi="tr-TR"/>
        </w:rPr>
        <w:t>a</w:t>
      </w:r>
      <w:r w:rsidR="00C53AD7" w:rsidRPr="004131D6">
        <w:rPr>
          <w:rFonts w:cs="Times New Roman"/>
          <w:szCs w:val="24"/>
          <w:lang w:bidi="tr-TR"/>
        </w:rPr>
        <w:t>macıyla</w:t>
      </w:r>
      <w:r w:rsidR="00AF3547" w:rsidRPr="004131D6">
        <w:rPr>
          <w:rFonts w:cs="Times New Roman"/>
          <w:szCs w:val="24"/>
          <w:lang w:bidi="tr-TR"/>
        </w:rPr>
        <w:t xml:space="preserve"> </w:t>
      </w:r>
      <w:r w:rsidRPr="004131D6">
        <w:rPr>
          <w:rFonts w:cs="Times New Roman"/>
          <w:szCs w:val="24"/>
          <w:lang w:bidi="tr-TR"/>
        </w:rPr>
        <w:t>Kanunun yürürlüğe girmesinden önce kurulan ve halen geçerli sözleşmelerin bu Kanuna aykırı hükümleri yürürlük tarihinden itibaren uygulanmayacaktır.</w:t>
      </w:r>
    </w:p>
    <w:p w14:paraId="249C2A2A" w14:textId="77777777" w:rsidR="00B0592A" w:rsidRPr="004131D6" w:rsidRDefault="00B0592A" w:rsidP="00B0592A">
      <w:pPr>
        <w:ind w:firstLine="708"/>
        <w:jc w:val="both"/>
        <w:rPr>
          <w:rFonts w:cs="Times New Roman"/>
          <w:szCs w:val="24"/>
          <w:lang w:bidi="tr-TR"/>
        </w:rPr>
      </w:pPr>
      <w:bookmarkStart w:id="6" w:name="bookmark53"/>
      <w:bookmarkEnd w:id="6"/>
    </w:p>
    <w:p w14:paraId="160A46E1" w14:textId="77777777" w:rsidR="00B0592A" w:rsidRPr="004131D6" w:rsidRDefault="00B0592A" w:rsidP="00B0592A">
      <w:pPr>
        <w:ind w:firstLine="708"/>
        <w:jc w:val="both"/>
        <w:rPr>
          <w:rFonts w:cs="Times New Roman"/>
          <w:szCs w:val="24"/>
          <w:lang w:bidi="tr-TR"/>
        </w:rPr>
      </w:pPr>
      <w:r w:rsidRPr="004131D6">
        <w:rPr>
          <w:rFonts w:cs="Times New Roman"/>
          <w:b/>
          <w:bCs/>
          <w:szCs w:val="24"/>
          <w:lang w:bidi="tr-TR"/>
        </w:rPr>
        <w:t xml:space="preserve">MADDE 13- </w:t>
      </w:r>
      <w:r w:rsidRPr="004131D6">
        <w:rPr>
          <w:rFonts w:cs="Times New Roman"/>
          <w:szCs w:val="24"/>
          <w:lang w:bidi="tr-TR"/>
        </w:rPr>
        <w:t>Yürürlük maddesidir.</w:t>
      </w:r>
    </w:p>
    <w:p w14:paraId="234DF35E" w14:textId="77777777" w:rsidR="00B0592A" w:rsidRPr="004131D6" w:rsidRDefault="00B0592A" w:rsidP="00B0592A">
      <w:pPr>
        <w:ind w:firstLine="708"/>
        <w:jc w:val="both"/>
        <w:rPr>
          <w:rFonts w:cs="Times New Roman"/>
          <w:szCs w:val="24"/>
          <w:lang w:bidi="tr-TR"/>
        </w:rPr>
      </w:pPr>
    </w:p>
    <w:p w14:paraId="007E1786" w14:textId="77777777" w:rsidR="00B0592A" w:rsidRPr="004131D6" w:rsidRDefault="00B0592A" w:rsidP="00B0592A">
      <w:pPr>
        <w:ind w:firstLine="708"/>
        <w:jc w:val="both"/>
        <w:rPr>
          <w:rFonts w:cs="Times New Roman"/>
          <w:szCs w:val="24"/>
        </w:rPr>
      </w:pPr>
      <w:r w:rsidRPr="004131D6">
        <w:rPr>
          <w:rFonts w:cs="Times New Roman"/>
          <w:b/>
          <w:bCs/>
          <w:szCs w:val="24"/>
          <w:lang w:bidi="tr-TR"/>
        </w:rPr>
        <w:t xml:space="preserve">MADDE 14- </w:t>
      </w:r>
      <w:r w:rsidRPr="004131D6">
        <w:rPr>
          <w:rFonts w:cs="Times New Roman"/>
          <w:szCs w:val="24"/>
          <w:lang w:bidi="tr-TR"/>
        </w:rPr>
        <w:t>Yürütme maddesidir.</w:t>
      </w:r>
    </w:p>
    <w:p w14:paraId="00590FE7" w14:textId="77777777" w:rsidR="00B0592A" w:rsidRPr="004131D6" w:rsidRDefault="00B0592A"/>
    <w:sectPr w:rsidR="00B0592A" w:rsidRPr="004131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055B6" w14:textId="77777777" w:rsidR="000324AB" w:rsidRDefault="000324AB" w:rsidP="00400350">
      <w:r>
        <w:separator/>
      </w:r>
    </w:p>
  </w:endnote>
  <w:endnote w:type="continuationSeparator" w:id="0">
    <w:p w14:paraId="52C3F369" w14:textId="77777777" w:rsidR="000324AB" w:rsidRDefault="000324AB" w:rsidP="0040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26185"/>
      <w:docPartObj>
        <w:docPartGallery w:val="Page Numbers (Bottom of Page)"/>
        <w:docPartUnique/>
      </w:docPartObj>
    </w:sdtPr>
    <w:sdtEndPr/>
    <w:sdtContent>
      <w:p w14:paraId="649442E8" w14:textId="4EEDFC85" w:rsidR="00400350" w:rsidRDefault="00400350" w:rsidP="00400350">
        <w:pPr>
          <w:pStyle w:val="AltBilgi"/>
          <w:jc w:val="center"/>
        </w:pPr>
        <w:r>
          <w:fldChar w:fldCharType="begin"/>
        </w:r>
        <w:r>
          <w:instrText>PAGE   \* MERGEFORMAT</w:instrText>
        </w:r>
        <w:r>
          <w:fldChar w:fldCharType="separate"/>
        </w:r>
        <w:r>
          <w:t>2</w:t>
        </w:r>
        <w:r>
          <w:fldChar w:fldCharType="end"/>
        </w:r>
        <w:r>
          <w:t>/</w:t>
        </w:r>
        <w:r w:rsidR="00500EA8">
          <w:rPr>
            <w:noProof/>
          </w:rPr>
          <w:fldChar w:fldCharType="begin"/>
        </w:r>
        <w:r w:rsidR="00500EA8">
          <w:rPr>
            <w:noProof/>
          </w:rPr>
          <w:instrText xml:space="preserve"> NUMPAGES   \* MERGEFORMAT </w:instrText>
        </w:r>
        <w:r w:rsidR="00500EA8">
          <w:rPr>
            <w:noProof/>
          </w:rPr>
          <w:fldChar w:fldCharType="separate"/>
        </w:r>
        <w:r>
          <w:rPr>
            <w:noProof/>
          </w:rPr>
          <w:t>6</w:t>
        </w:r>
        <w:r w:rsidR="00500EA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1F3BF" w14:textId="77777777" w:rsidR="000324AB" w:rsidRDefault="000324AB" w:rsidP="00400350">
      <w:r>
        <w:separator/>
      </w:r>
    </w:p>
  </w:footnote>
  <w:footnote w:type="continuationSeparator" w:id="0">
    <w:p w14:paraId="42E2FE67" w14:textId="77777777" w:rsidR="000324AB" w:rsidRDefault="000324AB" w:rsidP="00400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2491D"/>
    <w:multiLevelType w:val="hybridMultilevel"/>
    <w:tmpl w:val="39142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2A"/>
    <w:rsid w:val="000324AB"/>
    <w:rsid w:val="0005722A"/>
    <w:rsid w:val="00070D34"/>
    <w:rsid w:val="000A7213"/>
    <w:rsid w:val="00126922"/>
    <w:rsid w:val="00192812"/>
    <w:rsid w:val="001D73D9"/>
    <w:rsid w:val="00213B9A"/>
    <w:rsid w:val="00324D37"/>
    <w:rsid w:val="0034296B"/>
    <w:rsid w:val="003F1AC6"/>
    <w:rsid w:val="00400350"/>
    <w:rsid w:val="004131D6"/>
    <w:rsid w:val="0044670B"/>
    <w:rsid w:val="004A63B0"/>
    <w:rsid w:val="00500EA8"/>
    <w:rsid w:val="00637EB3"/>
    <w:rsid w:val="00697217"/>
    <w:rsid w:val="006A0EBA"/>
    <w:rsid w:val="006A1BED"/>
    <w:rsid w:val="006B2D3D"/>
    <w:rsid w:val="007174D8"/>
    <w:rsid w:val="008F0F30"/>
    <w:rsid w:val="009877E9"/>
    <w:rsid w:val="009B6C40"/>
    <w:rsid w:val="009F0385"/>
    <w:rsid w:val="00A30210"/>
    <w:rsid w:val="00A41FA9"/>
    <w:rsid w:val="00AB7242"/>
    <w:rsid w:val="00AF3547"/>
    <w:rsid w:val="00B0592A"/>
    <w:rsid w:val="00B87D76"/>
    <w:rsid w:val="00BE3462"/>
    <w:rsid w:val="00BF7876"/>
    <w:rsid w:val="00C53AD7"/>
    <w:rsid w:val="00C57F27"/>
    <w:rsid w:val="00C74379"/>
    <w:rsid w:val="00C837BD"/>
    <w:rsid w:val="00CB3778"/>
    <w:rsid w:val="00CC5A53"/>
    <w:rsid w:val="00CE4DAE"/>
    <w:rsid w:val="00D21B74"/>
    <w:rsid w:val="00D74C85"/>
    <w:rsid w:val="00E028D7"/>
    <w:rsid w:val="00E32398"/>
    <w:rsid w:val="00E57DE3"/>
    <w:rsid w:val="00E677D5"/>
    <w:rsid w:val="00EC0530"/>
    <w:rsid w:val="00EC3C3F"/>
    <w:rsid w:val="00F34F00"/>
    <w:rsid w:val="00F90811"/>
    <w:rsid w:val="00FF47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7BA47"/>
  <w15:chartTrackingRefBased/>
  <w15:docId w15:val="{1997FA70-B524-431F-B352-0C6F5144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92A"/>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592A"/>
    <w:pPr>
      <w:ind w:left="720"/>
      <w:contextualSpacing/>
    </w:pPr>
  </w:style>
  <w:style w:type="table" w:styleId="TabloKlavuzu">
    <w:name w:val="Table Grid"/>
    <w:basedOn w:val="NormalTablo"/>
    <w:uiPriority w:val="39"/>
    <w:rsid w:val="00B0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0592A"/>
    <w:rPr>
      <w:sz w:val="16"/>
      <w:szCs w:val="16"/>
    </w:rPr>
  </w:style>
  <w:style w:type="paragraph" w:styleId="AklamaMetni">
    <w:name w:val="annotation text"/>
    <w:basedOn w:val="Normal"/>
    <w:link w:val="AklamaMetniChar"/>
    <w:uiPriority w:val="99"/>
    <w:semiHidden/>
    <w:unhideWhenUsed/>
    <w:rsid w:val="00B0592A"/>
    <w:rPr>
      <w:sz w:val="20"/>
      <w:szCs w:val="20"/>
    </w:rPr>
  </w:style>
  <w:style w:type="character" w:customStyle="1" w:styleId="AklamaMetniChar">
    <w:name w:val="Açıklama Metni Char"/>
    <w:basedOn w:val="VarsaylanParagrafYazTipi"/>
    <w:link w:val="AklamaMetni"/>
    <w:uiPriority w:val="99"/>
    <w:semiHidden/>
    <w:rsid w:val="00B0592A"/>
    <w:rPr>
      <w:rFonts w:ascii="Times New Roman" w:hAnsi="Times New Roman"/>
      <w:sz w:val="20"/>
      <w:szCs w:val="20"/>
    </w:rPr>
  </w:style>
  <w:style w:type="paragraph" w:styleId="BalonMetni">
    <w:name w:val="Balloon Text"/>
    <w:basedOn w:val="Normal"/>
    <w:link w:val="BalonMetniChar"/>
    <w:uiPriority w:val="99"/>
    <w:semiHidden/>
    <w:unhideWhenUsed/>
    <w:rsid w:val="00B0592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592A"/>
    <w:rPr>
      <w:rFonts w:ascii="Segoe UI" w:hAnsi="Segoe UI" w:cs="Segoe UI"/>
      <w:sz w:val="18"/>
      <w:szCs w:val="18"/>
    </w:rPr>
  </w:style>
  <w:style w:type="character" w:customStyle="1" w:styleId="Gvdemetni">
    <w:name w:val="Gövde metni_"/>
    <w:basedOn w:val="VarsaylanParagrafYazTipi"/>
    <w:link w:val="Gvdemetni0"/>
    <w:rsid w:val="00B0592A"/>
    <w:rPr>
      <w:rFonts w:ascii="Times New Roman" w:eastAsia="Times New Roman" w:hAnsi="Times New Roman" w:cs="Times New Roman"/>
    </w:rPr>
  </w:style>
  <w:style w:type="paragraph" w:customStyle="1" w:styleId="Gvdemetni0">
    <w:name w:val="Gövde metni"/>
    <w:basedOn w:val="Normal"/>
    <w:link w:val="Gvdemetni"/>
    <w:rsid w:val="00B0592A"/>
    <w:pPr>
      <w:widowControl w:val="0"/>
      <w:ind w:firstLine="400"/>
    </w:pPr>
    <w:rPr>
      <w:rFonts w:eastAsia="Times New Roman" w:cs="Times New Roman"/>
      <w:sz w:val="22"/>
    </w:rPr>
  </w:style>
  <w:style w:type="paragraph" w:styleId="stBilgi">
    <w:name w:val="header"/>
    <w:basedOn w:val="Normal"/>
    <w:link w:val="stBilgiChar"/>
    <w:uiPriority w:val="99"/>
    <w:unhideWhenUsed/>
    <w:rsid w:val="00400350"/>
    <w:pPr>
      <w:tabs>
        <w:tab w:val="center" w:pos="4536"/>
        <w:tab w:val="right" w:pos="9072"/>
      </w:tabs>
    </w:pPr>
  </w:style>
  <w:style w:type="character" w:customStyle="1" w:styleId="stBilgiChar">
    <w:name w:val="Üst Bilgi Char"/>
    <w:basedOn w:val="VarsaylanParagrafYazTipi"/>
    <w:link w:val="stBilgi"/>
    <w:uiPriority w:val="99"/>
    <w:rsid w:val="00400350"/>
    <w:rPr>
      <w:rFonts w:ascii="Times New Roman" w:hAnsi="Times New Roman"/>
      <w:sz w:val="24"/>
    </w:rPr>
  </w:style>
  <w:style w:type="paragraph" w:styleId="AltBilgi">
    <w:name w:val="footer"/>
    <w:basedOn w:val="Normal"/>
    <w:link w:val="AltBilgiChar"/>
    <w:uiPriority w:val="99"/>
    <w:unhideWhenUsed/>
    <w:rsid w:val="00400350"/>
    <w:pPr>
      <w:tabs>
        <w:tab w:val="center" w:pos="4536"/>
        <w:tab w:val="right" w:pos="9072"/>
      </w:tabs>
    </w:pPr>
  </w:style>
  <w:style w:type="character" w:customStyle="1" w:styleId="AltBilgiChar">
    <w:name w:val="Alt Bilgi Char"/>
    <w:basedOn w:val="VarsaylanParagrafYazTipi"/>
    <w:link w:val="AltBilgi"/>
    <w:uiPriority w:val="99"/>
    <w:rsid w:val="0040035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55D6A-F505-4F24-9797-9AAFD78C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2187</Words>
  <Characters>12467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Din Şengören</dc:creator>
  <cp:keywords/>
  <dc:description/>
  <cp:lastModifiedBy>Ayşe Din Şengören</cp:lastModifiedBy>
  <cp:revision>3</cp:revision>
  <dcterms:created xsi:type="dcterms:W3CDTF">2021-11-29T08:26:00Z</dcterms:created>
  <dcterms:modified xsi:type="dcterms:W3CDTF">2021-11-29T08:46:00Z</dcterms:modified>
</cp:coreProperties>
</file>